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00"/>
      </w:tblGrid>
      <w:tr w:rsidR="005F5CCC" w:rsidRPr="005F5CCC" w:rsidTr="005F5CCC">
        <w:trPr>
          <w:trHeight w:val="1020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0"/>
            </w:tblGrid>
            <w:tr w:rsidR="005F5CCC" w:rsidRPr="005F5CCC">
              <w:trPr>
                <w:trHeight w:val="1005"/>
                <w:tblCellSpacing w:w="0" w:type="dxa"/>
              </w:trPr>
              <w:tc>
                <w:tcPr>
                  <w:tcW w:w="11955" w:type="dxa"/>
                  <w:shd w:val="clear" w:color="auto" w:fill="E5E9ED"/>
                  <w:tcMar>
                    <w:top w:w="0" w:type="dxa"/>
                    <w:left w:w="45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F5CCC" w:rsidRPr="005F5CCC" w:rsidRDefault="005F5CCC" w:rsidP="005F5CCC">
                  <w:pPr>
                    <w:spacing w:line="1005" w:lineRule="atLeast"/>
                    <w:rPr>
                      <w:rFonts w:ascii="Arial" w:eastAsia="Times New Roman" w:hAnsi="Arial" w:cs="Arial"/>
                      <w:b/>
                      <w:bCs/>
                      <w:color w:val="274D94"/>
                      <w:sz w:val="36"/>
                      <w:szCs w:val="36"/>
                    </w:rPr>
                  </w:pPr>
                  <w:r w:rsidRPr="005F5CCC">
                    <w:rPr>
                      <w:rFonts w:ascii="Arial" w:eastAsia="Times New Roman" w:hAnsi="Arial" w:cs="Arial"/>
                      <w:b/>
                      <w:bCs/>
                      <w:color w:val="274D94"/>
                      <w:sz w:val="36"/>
                      <w:szCs w:val="36"/>
                    </w:rPr>
                    <w:t>KOZAL&amp;KOZAA – Şirket Güncelleme Raporu</w:t>
                  </w:r>
                </w:p>
              </w:tc>
            </w:tr>
          </w:tbl>
          <w:p w:rsidR="005F5CCC" w:rsidRPr="005F5CCC" w:rsidRDefault="005F5CCC" w:rsidP="005F5CCC">
            <w:pPr>
              <w:rPr>
                <w:rFonts w:ascii="Arial" w:eastAsia="Times New Roman" w:hAnsi="Arial" w:cs="Arial"/>
                <w:color w:val="222222"/>
              </w:rPr>
            </w:pPr>
          </w:p>
        </w:tc>
      </w:tr>
      <w:tr w:rsidR="005F5CCC" w:rsidRPr="005F5CCC" w:rsidTr="005F5CCC">
        <w:trPr>
          <w:trHeight w:val="6630"/>
          <w:tblCellSpacing w:w="0" w:type="dxa"/>
        </w:trPr>
        <w:tc>
          <w:tcPr>
            <w:tcW w:w="8820" w:type="dxa"/>
            <w:shd w:val="clear" w:color="auto" w:fill="FBFDFF"/>
            <w:tcMar>
              <w:top w:w="0" w:type="dxa"/>
              <w:left w:w="450" w:type="dxa"/>
              <w:bottom w:w="0" w:type="dxa"/>
              <w:right w:w="450" w:type="dxa"/>
            </w:tcMar>
            <w:vAlign w:val="center"/>
            <w:hideMark/>
          </w:tcPr>
          <w:p w:rsidR="005F5CCC" w:rsidRPr="005F5CCC" w:rsidRDefault="005F5CCC" w:rsidP="005F5CC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274D94"/>
                <w:sz w:val="27"/>
                <w:szCs w:val="27"/>
              </w:rPr>
            </w:pPr>
          </w:p>
          <w:p w:rsidR="005F5CCC" w:rsidRPr="005F5CCC" w:rsidRDefault="005F5CCC" w:rsidP="005F5CCC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274D94"/>
                <w:sz w:val="27"/>
                <w:szCs w:val="27"/>
              </w:rPr>
            </w:pPr>
            <w:r w:rsidRPr="005F5CCC">
              <w:rPr>
                <w:rFonts w:ascii="Arial" w:eastAsia="Times New Roman" w:hAnsi="Arial" w:cs="Arial"/>
                <w:b/>
                <w:bCs/>
                <w:color w:val="274D94"/>
                <w:sz w:val="27"/>
                <w:szCs w:val="27"/>
              </w:rPr>
              <w:t>KOZAL, 2. çeyrekte 1,1 milyar TL net kar açıkladı ve bu rakam 0,8 milyar TL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</w:r>
            <w:r w:rsidRPr="005F5CCC">
              <w:rPr>
                <w:rFonts w:ascii="Arial" w:eastAsia="Times New Roman" w:hAnsi="Arial" w:cs="Arial"/>
                <w:b/>
                <w:bCs/>
                <w:color w:val="274D94"/>
                <w:sz w:val="27"/>
                <w:szCs w:val="27"/>
              </w:rPr>
              <w:t>olan piyasa beklentisini aştı. 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t>Şirketin 6 aylık net karı 1,7 milyar TL'ye çıktı ve geçen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  <w:t>senenin aynı dönemindeki -0,3 milyar TL net zarara göre önemli iyileşme kaydetti.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  <w:t>Enflasyon oranındaki yavaşlamaya paralel olarak daha düşük parasal kayıp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  <w:t xml:space="preserve">kaydedilmesi net kardaki iyileşmede etkili oldu. </w:t>
            </w:r>
            <w:proofErr w:type="spellStart"/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t>KOZAL’ın</w:t>
            </w:r>
            <w:proofErr w:type="spellEnd"/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t xml:space="preserve"> 2. çeyrek altın üretimi, yıllık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</w:r>
            <w:proofErr w:type="gramStart"/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t>bazda</w:t>
            </w:r>
            <w:proofErr w:type="gramEnd"/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t xml:space="preserve"> yatay kalarak 27 bin ons oldu, ancak 1. çeyrekteki 46 bin onsluk üretimin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  <w:t>altında kaldı. 6 aylık üretim hacmi 73 bin ons olarak gerçekleşerek, şirketin 2025 yılı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  <w:t>için paylaştığı yaklaşık 150 bin onsluk üretim tahminiyle uyumlu seyretti (2024: 100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  <w:t>bin ons). Üretimdeki çeyreklik düşüşe rağmen, FAVÖK 1. çeyrekteki 0,65 milyar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  <w:t>TL'den 2. çeyrekte 0,8 milyar TL'ye yükselerek ons başına iyileşen karlılık elde edildi.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  <w:t>Biz 2. çeyrekte 37 bin ons üretim varsayımıyla 0,9 milyar TL FAVÖK bekliyorduk.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  <w:t>Nakit maliyetleri, 2. çeyrekte ons başına 2300 ABD dolar seviyesinde yatay kalmıştır.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  <w:t>Net nakit, 2024 sonundaki 11,1 milyar TL'den 14,9 milyar TL'ye (375 milyon ABD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  <w:t>doları) yükselmiştir.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</w:r>
            <w:r w:rsidRPr="005F5CCC">
              <w:rPr>
                <w:rFonts w:ascii="Arial" w:eastAsia="Times New Roman" w:hAnsi="Arial" w:cs="Arial"/>
                <w:b/>
                <w:bCs/>
                <w:color w:val="274D94"/>
                <w:sz w:val="27"/>
                <w:szCs w:val="27"/>
              </w:rPr>
              <w:t>Yüksek altın fiyatı hisse fiyatına yansımadı, küresel madencilik hisselerine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</w:r>
            <w:r w:rsidRPr="005F5CCC">
              <w:rPr>
                <w:rFonts w:ascii="Arial" w:eastAsia="Times New Roman" w:hAnsi="Arial" w:cs="Arial"/>
                <w:b/>
                <w:bCs/>
                <w:color w:val="274D94"/>
                <w:sz w:val="27"/>
                <w:szCs w:val="27"/>
              </w:rPr>
              <w:t>kıyasla da geride kalan hisse performansı alım fırsatı sunuyor. </w:t>
            </w:r>
            <w:proofErr w:type="spellStart"/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t>KOZAL’ın</w:t>
            </w:r>
            <w:proofErr w:type="spellEnd"/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t xml:space="preserve"> USD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  <w:t xml:space="preserve">bazında hisse senedi fiyatı, </w:t>
            </w:r>
            <w:proofErr w:type="gramStart"/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t>yıl başından</w:t>
            </w:r>
            <w:proofErr w:type="gramEnd"/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t xml:space="preserve"> bu yana %-13 ve son 12 aylık dönemde %-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  <w:t>18 düşerken; aynı dönemde ons altın fiyatı sırasıyla +%28/+%37'lik artış kaydetti.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  <w:t>Ayrıca, küresel altın madenciliği hisselerinin de güçlü getiriler sağladığını ve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</w:r>
            <w:proofErr w:type="spellStart"/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t>GDXJ'nin</w:t>
            </w:r>
            <w:proofErr w:type="spellEnd"/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t xml:space="preserve"> (küçük ölçekli altın madencilerinden oluşan bir ETF) aynı dönemlerde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  <w:t xml:space="preserve">+%50/+%43 yükseldiğini not ediyoruz. Tahminlerimize göre </w:t>
            </w:r>
            <w:proofErr w:type="spellStart"/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t>KOZAL'ın</w:t>
            </w:r>
            <w:proofErr w:type="spellEnd"/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t xml:space="preserve"> 2026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  <w:t>FD/FAVÖK çarpanı 4,6 seviyesindeyken, küresel emsal şirketlerin ortalaması 7,9x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  <w:t>seviyesindedir.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</w:r>
            <w:r w:rsidRPr="005F5CCC">
              <w:rPr>
                <w:rFonts w:ascii="Arial" w:eastAsia="Times New Roman" w:hAnsi="Arial" w:cs="Arial"/>
                <w:b/>
                <w:bCs/>
                <w:color w:val="274D94"/>
                <w:sz w:val="27"/>
                <w:szCs w:val="27"/>
              </w:rPr>
              <w:t>Daha yüksek üretim hacmi, karlılıkta toparlanmayı destekleyecek.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t> KOZAL, 2026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  <w:t>yılında yaklaşık 250 bin ons altın üretimi hedeflediğini açıkladı. Bu hedef 2024 yılına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  <w:t xml:space="preserve">göre yıllık üretimde yaklaşık %150'lik önemli bir büyüme oranı anlamına geliyor. 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lastRenderedPageBreak/>
              <w:t>Yeni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  <w:t xml:space="preserve">madenlerin (Ağrı ve </w:t>
            </w:r>
            <w:proofErr w:type="spellStart"/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t>Kaşköy</w:t>
            </w:r>
            <w:proofErr w:type="spellEnd"/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t xml:space="preserve">) ve bazı mevcut madenlerdeki (Kaymaz ve </w:t>
            </w:r>
            <w:proofErr w:type="spellStart"/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t>Çukuralan</w:t>
            </w:r>
            <w:proofErr w:type="spellEnd"/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t>)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  <w:t>kapasite artırımının üretimdeki artışı desteklemesi bekleniyor. Şirket ayrıca 5 yıllık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  <w:t>toplam altın üretiminin yaklaşık 40 ton (1,3 milyon ons) olmasını bekliyor. Şirketin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  <w:t>nakit maliyetlerinin, daha yüksek üretim ölçeğine paralel olarak iyileşmesini ve bunun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  <w:t xml:space="preserve">da </w:t>
            </w:r>
            <w:proofErr w:type="spellStart"/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t>FAVÖK'ü</w:t>
            </w:r>
            <w:proofErr w:type="spellEnd"/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t xml:space="preserve"> 2026 yılında 310 milyon dolara, 2027 yılında ise 390 milyon dolara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  <w:t>çıkarmasını bekliyoruz.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</w:r>
            <w:proofErr w:type="spellStart"/>
            <w:r w:rsidRPr="005F5CCC">
              <w:rPr>
                <w:rFonts w:ascii="Arial" w:eastAsia="Times New Roman" w:hAnsi="Arial" w:cs="Arial"/>
                <w:b/>
                <w:bCs/>
                <w:color w:val="274D94"/>
                <w:sz w:val="27"/>
                <w:szCs w:val="27"/>
              </w:rPr>
              <w:t>KOZAL’a</w:t>
            </w:r>
            <w:proofErr w:type="spellEnd"/>
            <w:r w:rsidRPr="005F5CCC">
              <w:rPr>
                <w:rFonts w:ascii="Arial" w:eastAsia="Times New Roman" w:hAnsi="Arial" w:cs="Arial"/>
                <w:b/>
                <w:bCs/>
                <w:color w:val="274D94"/>
                <w:sz w:val="27"/>
                <w:szCs w:val="27"/>
              </w:rPr>
              <w:t xml:space="preserve"> yatırım yapmak için KOZAA da hala iyi bir seçenek. 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t>KOZAL, diğer grup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  <w:t>şirketleriyle birleşme sürecini yakın zamanda sonlandırdı ve birleşme kararının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  <w:t>gelecekte yeniden değerlendirilebileceğini belirtti. Bu süreçte, KOZAA ile neredeyse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  <w:t>tamamen kendisine ait olan bağlı kuruluşu ATP arasında olası bir birleşme gibi grup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  <w:t>yapısında bazı sadeleştirmeler yapılabileceğini düşünüyoruz. Bu olası birleşme,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</w:r>
            <w:proofErr w:type="spellStart"/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t>KOZAA'yı</w:t>
            </w:r>
            <w:proofErr w:type="spellEnd"/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t xml:space="preserve"> </w:t>
            </w:r>
            <w:proofErr w:type="spellStart"/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t>KOZAL'da</w:t>
            </w:r>
            <w:proofErr w:type="spellEnd"/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t xml:space="preserve"> doğrudan hissedar yapabilir. Her bir KOZAA hissesinin dolaylı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  <w:t>olarak yaklaşık 3,9 adet KOZAL hissesine sahip olduğunu hesaplıyoruz. Mevcut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  <w:t>piyasa fiyatları ise bize KOZAL/KOZAA arasında 3,01x oranını veriyor, ancak KOZAL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  <w:t xml:space="preserve">için hedef fiyatımızı dikkate alırsak oran 1,81x'e düşüyor ve bu da </w:t>
            </w:r>
            <w:proofErr w:type="spellStart"/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t>iskonto</w:t>
            </w:r>
            <w:proofErr w:type="spellEnd"/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t xml:space="preserve"> ortadan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  <w:t>kalktığında KOZAA için %100'den fazla yükseliş potansiyeli anlamına geliyor. Ayrıca,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</w:r>
            <w:proofErr w:type="spellStart"/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t>KOZAA'nın</w:t>
            </w:r>
            <w:proofErr w:type="spellEnd"/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t xml:space="preserve"> 2023 rezerv raporuna göre 3,18 milyon ons altın kaynağına ve 1,8 milyon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  <w:t>ton bakır kaynağına sahip olan Konak projesinde doğrudan %72 hissesi olduğunu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  <w:t>da belirtiyoruz. Projenin üretim öncesi aşamada olmasını göz önünde bulundurarak,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</w:r>
            <w:proofErr w:type="spellStart"/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t>KOZAA'nın</w:t>
            </w:r>
            <w:proofErr w:type="spellEnd"/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t xml:space="preserve"> Konak madenindeki hissesinin 140-280 milyon dolar (ons başına 50-100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  <w:t xml:space="preserve">dolar) değerinde olabileceğini düşünüyoruz; bu da </w:t>
            </w:r>
            <w:proofErr w:type="spellStart"/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t>KOZAA'nın</w:t>
            </w:r>
            <w:proofErr w:type="spellEnd"/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t xml:space="preserve"> piyasa değerinin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  <w:t>%20-40'ına denk gelecektir (bu rakamlar değerlememizde yer almıyor).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  <w:t> 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</w:r>
            <w:r w:rsidRPr="005F5CCC">
              <w:rPr>
                <w:rFonts w:ascii="Arial" w:eastAsia="Times New Roman" w:hAnsi="Arial" w:cs="Arial"/>
                <w:b/>
                <w:bCs/>
                <w:color w:val="274D94"/>
                <w:sz w:val="27"/>
                <w:szCs w:val="27"/>
              </w:rPr>
              <w:t>KOZAL ve KOZAA için Endeks Üzeri Getiri notumuzu korurken, KOZAL için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</w:r>
            <w:r w:rsidRPr="005F5CCC">
              <w:rPr>
                <w:rFonts w:ascii="Arial" w:eastAsia="Times New Roman" w:hAnsi="Arial" w:cs="Arial"/>
                <w:b/>
                <w:bCs/>
                <w:color w:val="274D94"/>
                <w:sz w:val="27"/>
                <w:szCs w:val="27"/>
              </w:rPr>
              <w:t>hedef fiyatımızı hisse başına 40,0 TL'ye (36 TL'den) ve KOZAA için hedef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</w:r>
            <w:r w:rsidRPr="005F5CCC">
              <w:rPr>
                <w:rFonts w:ascii="Arial" w:eastAsia="Times New Roman" w:hAnsi="Arial" w:cs="Arial"/>
                <w:b/>
                <w:bCs/>
                <w:color w:val="274D94"/>
                <w:sz w:val="27"/>
                <w:szCs w:val="27"/>
              </w:rPr>
              <w:t>fiyatımızı 130 TL'ye (122 TL'den) revize ediyor, her iki hisse için de olumlu</w:t>
            </w:r>
            <w:r w:rsidRPr="005F5CCC">
              <w:rPr>
                <w:rFonts w:ascii="Arial" w:eastAsia="Times New Roman" w:hAnsi="Arial" w:cs="Arial"/>
                <w:color w:val="274D94"/>
                <w:sz w:val="27"/>
                <w:szCs w:val="27"/>
              </w:rPr>
              <w:br/>
            </w:r>
            <w:r w:rsidRPr="005F5CCC">
              <w:rPr>
                <w:rFonts w:ascii="Arial" w:eastAsia="Times New Roman" w:hAnsi="Arial" w:cs="Arial"/>
                <w:b/>
                <w:bCs/>
                <w:color w:val="274D94"/>
                <w:sz w:val="27"/>
                <w:szCs w:val="27"/>
              </w:rPr>
              <w:t>görüşümüzü koruyoruz.</w:t>
            </w:r>
          </w:p>
        </w:tc>
      </w:tr>
    </w:tbl>
    <w:p w:rsidR="00376999" w:rsidRPr="005F5CCC" w:rsidRDefault="00376999" w:rsidP="005F5CCC">
      <w:bookmarkStart w:id="0" w:name="_GoBack"/>
      <w:bookmarkEnd w:id="0"/>
    </w:p>
    <w:sectPr w:rsidR="00376999" w:rsidRPr="005F5C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21490E"/>
    <w:multiLevelType w:val="multilevel"/>
    <w:tmpl w:val="AF4A2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AA9"/>
    <w:rsid w:val="002D4617"/>
    <w:rsid w:val="00376999"/>
    <w:rsid w:val="005F5CCC"/>
    <w:rsid w:val="00605F2F"/>
    <w:rsid w:val="00641AA9"/>
    <w:rsid w:val="00665D52"/>
    <w:rsid w:val="00CC2001"/>
    <w:rsid w:val="00EA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3B7CF9-F06F-4988-BF27-BB1D255C7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4617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link w:val="Balk1Char"/>
    <w:uiPriority w:val="9"/>
    <w:qFormat/>
    <w:rsid w:val="00EA45C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Balk2">
    <w:name w:val="heading 2"/>
    <w:basedOn w:val="Normal"/>
    <w:link w:val="Balk2Char"/>
    <w:uiPriority w:val="9"/>
    <w:qFormat/>
    <w:rsid w:val="00EA45C3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41AA9"/>
    <w:pPr>
      <w:spacing w:before="100" w:beforeAutospacing="1" w:after="100" w:afterAutospacing="1"/>
    </w:pPr>
    <w:rPr>
      <w:rFonts w:eastAsia="Times New Roman"/>
    </w:rPr>
  </w:style>
  <w:style w:type="character" w:styleId="Gl">
    <w:name w:val="Strong"/>
    <w:basedOn w:val="VarsaylanParagrafYazTipi"/>
    <w:uiPriority w:val="22"/>
    <w:qFormat/>
    <w:rsid w:val="00641AA9"/>
    <w:rPr>
      <w:b/>
      <w:bCs/>
    </w:rPr>
  </w:style>
  <w:style w:type="character" w:customStyle="1" w:styleId="Balk1Char">
    <w:name w:val="Başlık 1 Char"/>
    <w:basedOn w:val="VarsaylanParagrafYazTipi"/>
    <w:link w:val="Balk1"/>
    <w:uiPriority w:val="9"/>
    <w:rsid w:val="00EA45C3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EA45C3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EA45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75908">
          <w:marLeft w:val="0"/>
          <w:marRight w:val="0"/>
          <w:marTop w:val="0"/>
          <w:marBottom w:val="300"/>
          <w:divBdr>
            <w:top w:val="single" w:sz="6" w:space="19" w:color="E4E9F2"/>
            <w:left w:val="none" w:sz="0" w:space="26" w:color="auto"/>
            <w:bottom w:val="single" w:sz="6" w:space="19" w:color="E4E9F2"/>
            <w:right w:val="none" w:sz="0" w:space="26" w:color="auto"/>
          </w:divBdr>
          <w:divsChild>
            <w:div w:id="22807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65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35434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99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83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15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90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597</Words>
  <Characters>3409</Characters>
  <Application>Microsoft Office Word</Application>
  <DocSecurity>0</DocSecurity>
  <Lines>28</Lines>
  <Paragraphs>7</Paragraphs>
  <ScaleCrop>false</ScaleCrop>
  <Company/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2025-08-10T15:20:00Z</dcterms:created>
  <dcterms:modified xsi:type="dcterms:W3CDTF">2025-08-12T07:19:00Z</dcterms:modified>
</cp:coreProperties>
</file>