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8A5" w:rsidRDefault="00D538A5" w:rsidP="00D538A5">
      <w:pPr>
        <w:rPr>
          <w:rFonts w:ascii="Calibri" w:hAnsi="Calibri" w:cs="Calibri"/>
          <w:sz w:val="22"/>
          <w:szCs w:val="22"/>
        </w:rPr>
      </w:pPr>
      <w:r>
        <w:rPr>
          <w:rFonts w:ascii="Calibri" w:hAnsi="Calibri" w:cs="Calibri"/>
          <w:b/>
          <w:bCs/>
          <w:sz w:val="22"/>
          <w:szCs w:val="22"/>
        </w:rPr>
        <w:t>TTKOM 2Ç2025 Bilanço Analizi</w:t>
      </w:r>
    </w:p>
    <w:p w:rsidR="00D538A5" w:rsidRDefault="00D538A5" w:rsidP="00D538A5">
      <w:pPr>
        <w:rPr>
          <w:rFonts w:ascii="Calibri" w:hAnsi="Calibri" w:cs="Calibri"/>
          <w:sz w:val="22"/>
          <w:szCs w:val="22"/>
        </w:rPr>
      </w:pPr>
      <w:r>
        <w:rPr>
          <w:rFonts w:ascii="Calibri" w:hAnsi="Calibri" w:cs="Calibri"/>
          <w:sz w:val="22"/>
          <w:szCs w:val="22"/>
        </w:rPr>
        <w:t> </w:t>
      </w:r>
    </w:p>
    <w:p w:rsidR="00D538A5" w:rsidRDefault="00D538A5" w:rsidP="00D538A5">
      <w:pPr>
        <w:rPr>
          <w:rFonts w:ascii="Calibri" w:hAnsi="Calibri" w:cs="Calibri"/>
          <w:sz w:val="22"/>
          <w:szCs w:val="22"/>
        </w:rPr>
      </w:pPr>
      <w:r>
        <w:rPr>
          <w:rFonts w:ascii="Calibri" w:hAnsi="Calibri" w:cs="Calibri"/>
          <w:b/>
          <w:bCs/>
          <w:sz w:val="22"/>
          <w:szCs w:val="22"/>
        </w:rPr>
        <w:t>Finansallara Dair</w:t>
      </w:r>
      <w:r>
        <w:rPr>
          <w:rFonts w:ascii="Calibri" w:hAnsi="Calibri" w:cs="Calibri"/>
          <w:sz w:val="22"/>
          <w:szCs w:val="22"/>
        </w:rPr>
        <w:br/>
        <w:t>TTKOM, 2025 yılının ikinci çeyreğinde beklentilere paralel olarak bir önceki yılın aynı dönemine kıyasla %14 artışla 4,8 milyar TL net kâr açıkladı. Şirketin konsolide gelirleri, 2025 yılının ilk yarısında %16 oranında büyüyerek 98,7 milyar TL’ye ulaştı. Bu büyümeyi destekleyen ana segmentler, sırasıyla %19,8 ve %19,6 oranında artış gösteren sabit genişbant ve mobil segmentler oldu. Uluslararası ve diğer gelirler ise sırasıyla %13,1 ve %17,4 oranında daralma kaydetti.</w:t>
      </w:r>
    </w:p>
    <w:p w:rsidR="00D538A5" w:rsidRDefault="00D538A5" w:rsidP="00D538A5">
      <w:pPr>
        <w:rPr>
          <w:rFonts w:ascii="Calibri" w:hAnsi="Calibri" w:cs="Calibri"/>
          <w:sz w:val="22"/>
          <w:szCs w:val="22"/>
        </w:rPr>
      </w:pPr>
      <w:r>
        <w:rPr>
          <w:rFonts w:ascii="Calibri" w:hAnsi="Calibri" w:cs="Calibri"/>
          <w:sz w:val="22"/>
          <w:szCs w:val="22"/>
        </w:rPr>
        <w:t> </w:t>
      </w:r>
    </w:p>
    <w:p w:rsidR="00D538A5" w:rsidRDefault="00D538A5" w:rsidP="00D538A5">
      <w:pPr>
        <w:rPr>
          <w:rFonts w:ascii="Calibri" w:hAnsi="Calibri" w:cs="Calibri"/>
          <w:sz w:val="22"/>
          <w:szCs w:val="22"/>
        </w:rPr>
      </w:pPr>
      <w:r>
        <w:rPr>
          <w:rFonts w:ascii="Calibri" w:hAnsi="Calibri" w:cs="Calibri"/>
          <w:sz w:val="22"/>
          <w:szCs w:val="22"/>
        </w:rPr>
        <w:t>FAVÖK, ilk yarıyılda yıllık %24,7 artışla 40,2 milyar TL’ye yükselmiş ve FAVÖK marjı %40,8 olarak gerçekleşmiştir. Bu marj, şirketin önceki beklentisi olan %38-40 aralığının üst sınırını aşmıştır. İkinci çeyreğe özel olarak ise FAVÖK marjı %42,2 olarak kaydedilmiştir. Net kâr, ilk yarıyılda yıllık %28,7 artışla 10,3 milyar TL’ye ulaşmıştır.</w:t>
      </w:r>
    </w:p>
    <w:p w:rsidR="00D538A5" w:rsidRDefault="00D538A5" w:rsidP="00D538A5">
      <w:pPr>
        <w:rPr>
          <w:rFonts w:ascii="Calibri" w:hAnsi="Calibri" w:cs="Calibri"/>
          <w:sz w:val="22"/>
          <w:szCs w:val="22"/>
        </w:rPr>
      </w:pPr>
      <w:r>
        <w:rPr>
          <w:rFonts w:ascii="Calibri" w:hAnsi="Calibri" w:cs="Calibri"/>
          <w:sz w:val="22"/>
          <w:szCs w:val="22"/>
        </w:rPr>
        <w:t> </w:t>
      </w:r>
    </w:p>
    <w:p w:rsidR="00D538A5" w:rsidRDefault="00D538A5" w:rsidP="00D538A5">
      <w:pPr>
        <w:rPr>
          <w:rFonts w:ascii="Calibri" w:hAnsi="Calibri" w:cs="Calibri"/>
          <w:sz w:val="22"/>
          <w:szCs w:val="22"/>
        </w:rPr>
      </w:pPr>
      <w:r>
        <w:rPr>
          <w:rFonts w:ascii="Calibri" w:hAnsi="Calibri" w:cs="Calibri"/>
          <w:sz w:val="22"/>
          <w:szCs w:val="22"/>
        </w:rPr>
        <w:t>Net finansman giderleri, ilk yarıyılda geçen yıla göre %17,7 azalarak 13,5 milyar TL seviyesinde gerçekleşti. Bu azalışta, USD/TRY ve EUR/TRY kurlarındaki yükselişin enflasyonun gerisinde kalması ve azalan net borç seviyesi etkili olmuştur. Enflasyon muhasebesi etkisiyle oluşan parasal kazanç, 2025’in ilk yarısında 10,04 milyar TL olarak gerçekleşti; bu, geçen yılın aynı dönemine göre %44,8’lik bir düşüşe işaret etmektedir. İkinci çeyrekte bu rakam 3,763 milyar TL oldu.</w:t>
      </w:r>
    </w:p>
    <w:p w:rsidR="00D538A5" w:rsidRDefault="00D538A5" w:rsidP="00D538A5">
      <w:pPr>
        <w:rPr>
          <w:rFonts w:ascii="Calibri" w:hAnsi="Calibri" w:cs="Calibri"/>
          <w:sz w:val="22"/>
          <w:szCs w:val="22"/>
        </w:rPr>
      </w:pPr>
      <w:r>
        <w:rPr>
          <w:rFonts w:ascii="Calibri" w:hAnsi="Calibri" w:cs="Calibri"/>
          <w:sz w:val="22"/>
          <w:szCs w:val="22"/>
        </w:rPr>
        <w:t> </w:t>
      </w:r>
    </w:p>
    <w:p w:rsidR="00D538A5" w:rsidRDefault="00D538A5" w:rsidP="00D538A5">
      <w:pPr>
        <w:rPr>
          <w:rFonts w:ascii="Calibri" w:hAnsi="Calibri" w:cs="Calibri"/>
          <w:sz w:val="22"/>
          <w:szCs w:val="22"/>
        </w:rPr>
      </w:pPr>
      <w:r>
        <w:rPr>
          <w:rFonts w:ascii="Calibri" w:hAnsi="Calibri" w:cs="Calibri"/>
          <w:sz w:val="22"/>
          <w:szCs w:val="22"/>
        </w:rPr>
        <w:t>2025 yılı ikinci çeyreği itibarıyla şirketin net borcu, bir önceki yıla göre 68,9 milyar TL’den 56,1 milyar TL’ye gerilemiştir. Toplam borç 60,345 milyar TL olup, bunun 30,497 milyar TL’si USD, 28,583 milyar TL’si EUR ve 1,265 milyar TL’si TL cinsindendir. Cari Net Borç/FAVÖK oranı ise 0,68x seviyesindedir. İşletme faaliyetlerinden sağlanan nakit akışı, 2Ç24’teki 13,264 milyon TL’den 2Ç25’te 20,318 milyon TL’ye yükselmiştir.</w:t>
      </w:r>
    </w:p>
    <w:p w:rsidR="00D538A5" w:rsidRDefault="00D538A5" w:rsidP="00D538A5">
      <w:pPr>
        <w:rPr>
          <w:rFonts w:ascii="Calibri" w:hAnsi="Calibri" w:cs="Calibri"/>
          <w:sz w:val="22"/>
          <w:szCs w:val="22"/>
        </w:rPr>
      </w:pPr>
      <w:r>
        <w:rPr>
          <w:rFonts w:ascii="Calibri" w:hAnsi="Calibri" w:cs="Calibri"/>
          <w:sz w:val="22"/>
          <w:szCs w:val="22"/>
        </w:rPr>
        <w:t> </w:t>
      </w:r>
    </w:p>
    <w:p w:rsidR="00D538A5" w:rsidRDefault="00D538A5" w:rsidP="00D538A5">
      <w:pPr>
        <w:rPr>
          <w:rFonts w:ascii="Calibri" w:hAnsi="Calibri" w:cs="Calibri"/>
          <w:sz w:val="22"/>
          <w:szCs w:val="22"/>
        </w:rPr>
      </w:pPr>
      <w:r>
        <w:rPr>
          <w:rFonts w:ascii="Calibri" w:hAnsi="Calibri" w:cs="Calibri"/>
          <w:b/>
          <w:bCs/>
          <w:sz w:val="22"/>
          <w:szCs w:val="22"/>
        </w:rPr>
        <w:t>Operasyonel Gelişmeler ve Abone Performansı</w:t>
      </w:r>
      <w:r>
        <w:rPr>
          <w:rFonts w:ascii="Calibri" w:hAnsi="Calibri" w:cs="Calibri"/>
          <w:sz w:val="22"/>
          <w:szCs w:val="22"/>
        </w:rPr>
        <w:br/>
        <w:t>Türk Telekom, 2025’in ikinci çeyreğinde toplam abone sayısını 54,2 milyona ulaştırmıştır. Mobil segmentte 678 bin net abone kazanımıyla 28,5 milyon aboneye ulaşılırken, faturalı segmentteki 810 bin net kazanım şirket tarihinin en yüksek çeyreklik net abone kazanımı olmuştur. Sabit genişbant abone sayısı 15,5 milyona yükselmiştir.</w:t>
      </w:r>
    </w:p>
    <w:p w:rsidR="00D538A5" w:rsidRDefault="00D538A5" w:rsidP="00D538A5">
      <w:pPr>
        <w:rPr>
          <w:rFonts w:ascii="Calibri" w:hAnsi="Calibri" w:cs="Calibri"/>
          <w:sz w:val="22"/>
          <w:szCs w:val="22"/>
        </w:rPr>
      </w:pPr>
      <w:r>
        <w:rPr>
          <w:rFonts w:ascii="Calibri" w:hAnsi="Calibri" w:cs="Calibri"/>
          <w:sz w:val="22"/>
          <w:szCs w:val="22"/>
        </w:rPr>
        <w:t> </w:t>
      </w:r>
    </w:p>
    <w:p w:rsidR="00D538A5" w:rsidRDefault="00D538A5" w:rsidP="00D538A5">
      <w:pPr>
        <w:rPr>
          <w:rFonts w:ascii="Calibri" w:hAnsi="Calibri" w:cs="Calibri"/>
          <w:sz w:val="22"/>
          <w:szCs w:val="22"/>
        </w:rPr>
      </w:pPr>
      <w:r>
        <w:rPr>
          <w:rFonts w:ascii="Calibri" w:hAnsi="Calibri" w:cs="Calibri"/>
          <w:sz w:val="22"/>
          <w:szCs w:val="22"/>
        </w:rPr>
        <w:t>Fiber abone sayısı 14,1 milyona ulaşmış ve fiber abonelerin toplam sabit genişbant portföyü içindeki payı %91,1’e yükselmiştir. Fiber altyapı uzunluğu 496 bin km’ye çıkarılarak 33,5 milyon haneye kapsama sağlanmıştır. Şirketin yatırım harcamaları, ilk yarıyılda 21,8 milyar TL seviyesinde gerçekleşmiştir.</w:t>
      </w:r>
    </w:p>
    <w:p w:rsidR="00D538A5" w:rsidRDefault="00D538A5" w:rsidP="00D538A5">
      <w:pPr>
        <w:rPr>
          <w:rFonts w:ascii="Calibri" w:hAnsi="Calibri" w:cs="Calibri"/>
          <w:sz w:val="22"/>
          <w:szCs w:val="22"/>
        </w:rPr>
      </w:pPr>
      <w:r>
        <w:rPr>
          <w:rFonts w:ascii="Calibri" w:hAnsi="Calibri" w:cs="Calibri"/>
          <w:sz w:val="22"/>
          <w:szCs w:val="22"/>
        </w:rPr>
        <w:t> </w:t>
      </w:r>
    </w:p>
    <w:p w:rsidR="00D538A5" w:rsidRDefault="00D538A5" w:rsidP="00D538A5">
      <w:pPr>
        <w:rPr>
          <w:rFonts w:ascii="Calibri" w:hAnsi="Calibri" w:cs="Calibri"/>
          <w:sz w:val="22"/>
          <w:szCs w:val="22"/>
        </w:rPr>
      </w:pPr>
      <w:r>
        <w:rPr>
          <w:rFonts w:ascii="Calibri" w:hAnsi="Calibri" w:cs="Calibri"/>
          <w:sz w:val="22"/>
          <w:szCs w:val="22"/>
        </w:rPr>
        <w:t>TMS 29 etkileri hariç tutulup, farklı segmentlerdeki ARPU büyümesine bakıldığında, sabit genişbant ARPU’su 2Ç25’te yıllık %16,9 artarak 319,6 TL’ye, 1H25’te ise %18,1 artarak 316,8 TL’ye yükselmiştir. Mobil ARPU’su ise 2Ç25’te yıllık %8,3 artışla 255,2 TL’ye, 1H25’te ise %13,2 artışla 251,3 TL’ye yükselmiştir. Mobil karma ARPU 255,2 TL, mobil faturalı ARPU 278,9 TL, sabit genişbant ARPU 319,6 TL ve ev TV ARPU 96,1 TL olarak kaydedilmiştir.</w:t>
      </w:r>
    </w:p>
    <w:p w:rsidR="00D538A5" w:rsidRDefault="00D538A5" w:rsidP="00D538A5">
      <w:pPr>
        <w:rPr>
          <w:rFonts w:ascii="Calibri" w:hAnsi="Calibri" w:cs="Calibri"/>
          <w:sz w:val="22"/>
          <w:szCs w:val="22"/>
        </w:rPr>
      </w:pPr>
      <w:r>
        <w:rPr>
          <w:rFonts w:ascii="Calibri" w:hAnsi="Calibri" w:cs="Calibri"/>
          <w:sz w:val="22"/>
          <w:szCs w:val="22"/>
        </w:rPr>
        <w:t> </w:t>
      </w:r>
    </w:p>
    <w:p w:rsidR="00D538A5" w:rsidRDefault="00D538A5" w:rsidP="00D538A5">
      <w:pPr>
        <w:rPr>
          <w:rFonts w:ascii="Calibri" w:hAnsi="Calibri" w:cs="Calibri"/>
          <w:sz w:val="22"/>
          <w:szCs w:val="22"/>
        </w:rPr>
      </w:pPr>
      <w:r>
        <w:rPr>
          <w:rFonts w:ascii="Calibri" w:hAnsi="Calibri" w:cs="Calibri"/>
          <w:sz w:val="22"/>
          <w:szCs w:val="22"/>
        </w:rPr>
        <w:t>Yatırım harcamaları, ikinci çeyrekte yıllık %38,5 artışla 13,3 milyar TL’ye yükselmiş, ilk yarıyıl yatırım harcamaları ise 21,8 milyar TL olmuştur. Yatırımların satış gelirine oranı %29 seviyesinde gerçekleşmiştir.</w:t>
      </w:r>
    </w:p>
    <w:p w:rsidR="00D538A5" w:rsidRDefault="00D538A5" w:rsidP="00D538A5">
      <w:pPr>
        <w:rPr>
          <w:rFonts w:ascii="Calibri" w:hAnsi="Calibri" w:cs="Calibri"/>
          <w:sz w:val="22"/>
          <w:szCs w:val="22"/>
        </w:rPr>
      </w:pPr>
      <w:r>
        <w:rPr>
          <w:rFonts w:ascii="Calibri" w:hAnsi="Calibri" w:cs="Calibri"/>
          <w:sz w:val="22"/>
          <w:szCs w:val="22"/>
        </w:rPr>
        <w:t> </w:t>
      </w:r>
    </w:p>
    <w:p w:rsidR="00D538A5" w:rsidRDefault="00D538A5" w:rsidP="00D538A5">
      <w:pPr>
        <w:rPr>
          <w:rFonts w:ascii="Calibri" w:hAnsi="Calibri" w:cs="Calibri"/>
          <w:sz w:val="22"/>
          <w:szCs w:val="22"/>
        </w:rPr>
      </w:pPr>
      <w:r>
        <w:rPr>
          <w:rFonts w:ascii="Calibri" w:hAnsi="Calibri" w:cs="Calibri"/>
          <w:b/>
          <w:bCs/>
          <w:sz w:val="22"/>
          <w:szCs w:val="22"/>
        </w:rPr>
        <w:t>2025 Yılı Beklentilerindeki Revizyonlar</w:t>
      </w:r>
      <w:r>
        <w:rPr>
          <w:rFonts w:ascii="Calibri" w:hAnsi="Calibri" w:cs="Calibri"/>
          <w:sz w:val="22"/>
          <w:szCs w:val="22"/>
        </w:rPr>
        <w:br/>
        <w:t>Şirketin yılın ilk yarısındaki güçlü performansı, 2025 yılına ilişkin öngörülerin yukarı yönlü revize edilmesine yol açmıştır:</w:t>
      </w:r>
    </w:p>
    <w:p w:rsidR="00D538A5" w:rsidRDefault="00D538A5" w:rsidP="00D538A5">
      <w:pPr>
        <w:numPr>
          <w:ilvl w:val="0"/>
          <w:numId w:val="1"/>
        </w:numPr>
        <w:rPr>
          <w:rFonts w:ascii="Calibri" w:eastAsia="Times New Roman" w:hAnsi="Calibri" w:cs="Calibri"/>
          <w:sz w:val="22"/>
          <w:szCs w:val="22"/>
        </w:rPr>
      </w:pPr>
      <w:r>
        <w:rPr>
          <w:rFonts w:ascii="Calibri" w:eastAsia="Times New Roman" w:hAnsi="Calibri" w:cs="Calibri"/>
          <w:b/>
          <w:bCs/>
          <w:sz w:val="22"/>
          <w:szCs w:val="22"/>
        </w:rPr>
        <w:t>Konsolide Gelir Büyümesi (UFRYK 12 hariç):</w:t>
      </w:r>
      <w:r>
        <w:rPr>
          <w:rFonts w:ascii="Calibri" w:eastAsia="Times New Roman" w:hAnsi="Calibri" w:cs="Calibri"/>
          <w:sz w:val="22"/>
          <w:szCs w:val="22"/>
        </w:rPr>
        <w:t> Önceki %8-9 aralığından yaklaşık %10’a yükseltilmiştir.</w:t>
      </w:r>
    </w:p>
    <w:p w:rsidR="00D538A5" w:rsidRDefault="00D538A5" w:rsidP="00D538A5">
      <w:pPr>
        <w:numPr>
          <w:ilvl w:val="0"/>
          <w:numId w:val="1"/>
        </w:numPr>
        <w:rPr>
          <w:rFonts w:ascii="Calibri" w:eastAsia="Times New Roman" w:hAnsi="Calibri" w:cs="Calibri"/>
          <w:sz w:val="22"/>
          <w:szCs w:val="22"/>
        </w:rPr>
      </w:pPr>
      <w:r>
        <w:rPr>
          <w:rFonts w:ascii="Calibri" w:eastAsia="Times New Roman" w:hAnsi="Calibri" w:cs="Calibri"/>
          <w:b/>
          <w:bCs/>
          <w:sz w:val="22"/>
          <w:szCs w:val="22"/>
        </w:rPr>
        <w:lastRenderedPageBreak/>
        <w:t>FAVÖK Marjı:</w:t>
      </w:r>
      <w:r>
        <w:rPr>
          <w:rFonts w:ascii="Calibri" w:eastAsia="Times New Roman" w:hAnsi="Calibri" w:cs="Calibri"/>
          <w:sz w:val="22"/>
          <w:szCs w:val="22"/>
        </w:rPr>
        <w:t> Önceki %38-40 aralığından yaklaşık %41’e revize edilmiştir.</w:t>
      </w:r>
    </w:p>
    <w:p w:rsidR="00D538A5" w:rsidRDefault="00D538A5" w:rsidP="00D538A5">
      <w:pPr>
        <w:numPr>
          <w:ilvl w:val="0"/>
          <w:numId w:val="1"/>
        </w:numPr>
        <w:rPr>
          <w:rFonts w:ascii="Calibri" w:eastAsia="Times New Roman" w:hAnsi="Calibri" w:cs="Calibri"/>
          <w:sz w:val="22"/>
          <w:szCs w:val="22"/>
        </w:rPr>
      </w:pPr>
      <w:r>
        <w:rPr>
          <w:rFonts w:ascii="Calibri" w:eastAsia="Times New Roman" w:hAnsi="Calibri" w:cs="Calibri"/>
          <w:b/>
          <w:bCs/>
          <w:sz w:val="22"/>
          <w:szCs w:val="22"/>
        </w:rPr>
        <w:t>Yatırım Harcamaları/Satış Gelirleri:</w:t>
      </w:r>
      <w:r>
        <w:rPr>
          <w:rFonts w:ascii="Calibri" w:eastAsia="Times New Roman" w:hAnsi="Calibri" w:cs="Calibri"/>
          <w:sz w:val="22"/>
          <w:szCs w:val="22"/>
        </w:rPr>
        <w:t> Önceki %28-29 aralığından yaklaşık %29’a yükseltilmiştir.</w:t>
      </w:r>
    </w:p>
    <w:p w:rsidR="00D538A5" w:rsidRDefault="00D538A5" w:rsidP="00D538A5">
      <w:pPr>
        <w:ind w:left="720"/>
        <w:rPr>
          <w:rFonts w:ascii="Calibri" w:hAnsi="Calibri" w:cs="Calibri"/>
          <w:sz w:val="22"/>
          <w:szCs w:val="22"/>
        </w:rPr>
      </w:pPr>
      <w:r>
        <w:rPr>
          <w:rFonts w:ascii="Calibri" w:hAnsi="Calibri" w:cs="Calibri"/>
          <w:sz w:val="22"/>
          <w:szCs w:val="22"/>
        </w:rPr>
        <w:t> </w:t>
      </w:r>
    </w:p>
    <w:p w:rsidR="00D538A5" w:rsidRDefault="00D538A5" w:rsidP="00D538A5">
      <w:pPr>
        <w:rPr>
          <w:rFonts w:ascii="Calibri" w:hAnsi="Calibri" w:cs="Calibri"/>
          <w:sz w:val="22"/>
          <w:szCs w:val="22"/>
        </w:rPr>
      </w:pPr>
      <w:r>
        <w:rPr>
          <w:rFonts w:ascii="Calibri" w:hAnsi="Calibri" w:cs="Calibri"/>
          <w:sz w:val="22"/>
          <w:szCs w:val="22"/>
        </w:rPr>
        <w:t>Bu revizyonlar, hem gelir yaratma hem de maliyet yönetimindeki olumlu performansı yansıtmaktadır. Yatırım harcamalarındaki artış ise makroekonomik varsayımlardaki revizyonlar ve mobil yatırımlarının kapsamının genişletilmesinden kaynaklanmaktadır.</w:t>
      </w:r>
    </w:p>
    <w:p w:rsidR="00D538A5" w:rsidRDefault="00D538A5" w:rsidP="00D538A5">
      <w:pPr>
        <w:rPr>
          <w:rFonts w:ascii="Calibri" w:hAnsi="Calibri" w:cs="Calibri"/>
          <w:sz w:val="22"/>
          <w:szCs w:val="22"/>
        </w:rPr>
      </w:pPr>
      <w:r>
        <w:rPr>
          <w:rFonts w:ascii="Calibri" w:hAnsi="Calibri" w:cs="Calibri"/>
          <w:sz w:val="22"/>
          <w:szCs w:val="22"/>
        </w:rPr>
        <w:t> </w:t>
      </w:r>
    </w:p>
    <w:p w:rsidR="004F2CA2" w:rsidRPr="00D538A5" w:rsidRDefault="004F2CA2" w:rsidP="00D538A5">
      <w:bookmarkStart w:id="0" w:name="_GoBack"/>
      <w:bookmarkEnd w:id="0"/>
    </w:p>
    <w:sectPr w:rsidR="004F2CA2" w:rsidRPr="00D538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3C0471"/>
    <w:multiLevelType w:val="multilevel"/>
    <w:tmpl w:val="1F86C4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548"/>
    <w:rsid w:val="00470548"/>
    <w:rsid w:val="004F2CA2"/>
    <w:rsid w:val="00805745"/>
    <w:rsid w:val="00D538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F39C04-9206-49E5-AE42-77922F647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745"/>
    <w:pPr>
      <w:spacing w:after="0" w:line="240" w:lineRule="auto"/>
    </w:pPr>
    <w:rPr>
      <w:rFonts w:ascii="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470548"/>
    <w:pPr>
      <w:spacing w:before="100" w:beforeAutospacing="1" w:after="100" w:afterAutospacing="1"/>
    </w:pPr>
    <w:rPr>
      <w:rFonts w:eastAsia="Times New Roman"/>
    </w:rPr>
  </w:style>
  <w:style w:type="character" w:styleId="Gl">
    <w:name w:val="Strong"/>
    <w:basedOn w:val="VarsaylanParagrafYazTipi"/>
    <w:uiPriority w:val="22"/>
    <w:qFormat/>
    <w:rsid w:val="00470548"/>
    <w:rPr>
      <w:b/>
      <w:bCs/>
    </w:rPr>
  </w:style>
  <w:style w:type="character" w:styleId="Kpr">
    <w:name w:val="Hyperlink"/>
    <w:basedOn w:val="VarsaylanParagrafYazTipi"/>
    <w:uiPriority w:val="99"/>
    <w:semiHidden/>
    <w:unhideWhenUsed/>
    <w:rsid w:val="004705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367555">
      <w:bodyDiv w:val="1"/>
      <w:marLeft w:val="0"/>
      <w:marRight w:val="0"/>
      <w:marTop w:val="0"/>
      <w:marBottom w:val="0"/>
      <w:divBdr>
        <w:top w:val="none" w:sz="0" w:space="0" w:color="auto"/>
        <w:left w:val="none" w:sz="0" w:space="0" w:color="auto"/>
        <w:bottom w:val="none" w:sz="0" w:space="0" w:color="auto"/>
        <w:right w:val="none" w:sz="0" w:space="0" w:color="auto"/>
      </w:divBdr>
    </w:div>
    <w:div w:id="1492142332">
      <w:bodyDiv w:val="1"/>
      <w:marLeft w:val="0"/>
      <w:marRight w:val="0"/>
      <w:marTop w:val="0"/>
      <w:marBottom w:val="0"/>
      <w:divBdr>
        <w:top w:val="none" w:sz="0" w:space="0" w:color="auto"/>
        <w:left w:val="none" w:sz="0" w:space="0" w:color="auto"/>
        <w:bottom w:val="none" w:sz="0" w:space="0" w:color="auto"/>
        <w:right w:val="none" w:sz="0" w:space="0" w:color="auto"/>
      </w:divBdr>
    </w:div>
    <w:div w:id="187145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3244</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FOREKS</dc:creator>
  <cp:keywords/>
  <dc:description/>
  <cp:lastModifiedBy>FOREKS</cp:lastModifiedBy>
  <cp:revision>3</cp:revision>
  <dcterms:created xsi:type="dcterms:W3CDTF">2025-08-13T11:37:00Z</dcterms:created>
  <dcterms:modified xsi:type="dcterms:W3CDTF">2025-08-14T06:23:00Z</dcterms:modified>
</cp:coreProperties>
</file>