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0FB" w:rsidRDefault="00EB10FB" w:rsidP="00EB10FB">
      <w:pPr>
        <w:pStyle w:val="Balk1"/>
        <w:spacing w:before="0" w:beforeAutospacing="0" w:after="75" w:afterAutospacing="0" w:line="360" w:lineRule="atLeast"/>
        <w:textAlignment w:val="baseline"/>
        <w:rPr>
          <w:rFonts w:ascii="inherit" w:hAnsi="inherit" w:cs="Arial"/>
          <w:color w:val="1D567D"/>
          <w:spacing w:val="-1"/>
          <w:sz w:val="33"/>
          <w:szCs w:val="33"/>
        </w:rPr>
      </w:pPr>
      <w:bookmarkStart w:id="0" w:name="_GoBack"/>
      <w:r>
        <w:rPr>
          <w:rFonts w:ascii="inherit" w:hAnsi="inherit" w:cs="Arial"/>
          <w:color w:val="1D567D"/>
          <w:spacing w:val="-1"/>
          <w:sz w:val="33"/>
          <w:szCs w:val="33"/>
        </w:rPr>
        <w:t>GCM Yatırım</w:t>
      </w:r>
    </w:p>
    <w:p w:rsidR="00EB10FB" w:rsidRDefault="00EB10FB" w:rsidP="00EB10FB">
      <w:pPr>
        <w:pStyle w:val="Balk1"/>
        <w:spacing w:before="0" w:beforeAutospacing="0" w:after="75" w:afterAutospacing="0" w:line="360" w:lineRule="atLeast"/>
        <w:textAlignment w:val="baseline"/>
        <w:rPr>
          <w:rFonts w:ascii="inherit" w:hAnsi="inherit" w:cs="Arial"/>
          <w:color w:val="1D567D"/>
          <w:spacing w:val="-1"/>
          <w:sz w:val="33"/>
          <w:szCs w:val="33"/>
        </w:rPr>
      </w:pPr>
      <w:r>
        <w:rPr>
          <w:rFonts w:ascii="inherit" w:hAnsi="inherit" w:cs="Arial"/>
          <w:color w:val="1D567D"/>
          <w:spacing w:val="-1"/>
          <w:sz w:val="33"/>
          <w:szCs w:val="33"/>
        </w:rPr>
        <w:t>Anadolu Grubu Holding (AGHOL) 2025 2.Çeyrek Bilanço Analizi</w:t>
      </w:r>
    </w:p>
    <w:p w:rsidR="00EB10FB" w:rsidRDefault="00EB10FB" w:rsidP="00EB10FB">
      <w:pPr>
        <w:spacing w:line="330" w:lineRule="atLeast"/>
        <w:textAlignment w:val="baseline"/>
        <w:rPr>
          <w:rFonts w:ascii="inherit" w:hAnsi="inherit" w:cs="Arial"/>
          <w:color w:val="5F676F"/>
          <w:spacing w:val="-1"/>
          <w:sz w:val="24"/>
          <w:szCs w:val="24"/>
        </w:rPr>
      </w:pPr>
      <w:r>
        <w:rPr>
          <w:rFonts w:ascii="inherit" w:hAnsi="inherit" w:cs="Arial"/>
          <w:color w:val="5F676F"/>
          <w:spacing w:val="-1"/>
          <w:bdr w:val="none" w:sz="0" w:space="0" w:color="auto" w:frame="1"/>
        </w:rPr>
        <w:t>15 Ağustos 2025</w:t>
      </w:r>
      <w:hyperlink r:id="rId5" w:tgtFrame="_blank" w:tooltip="GCM Araştırma &amp; Analiz" w:history="1">
        <w:r>
          <w:rPr>
            <w:rStyle w:val="Kpr"/>
            <w:rFonts w:ascii="inherit" w:hAnsi="inherit" w:cs="Arial"/>
            <w:spacing w:val="-1"/>
            <w:bdr w:val="none" w:sz="0" w:space="0" w:color="auto" w:frame="1"/>
          </w:rPr>
          <w:t>GCM Araştırma &amp; Analiz</w:t>
        </w:r>
      </w:hyperlink>
      <w:r>
        <w:rPr>
          <w:rFonts w:ascii="inherit" w:hAnsi="inherit" w:cs="Arial"/>
          <w:color w:val="5F676F"/>
          <w:spacing w:val="-1"/>
          <w:bdr w:val="none" w:sz="0" w:space="0" w:color="auto" w:frame="1"/>
        </w:rPr>
        <w:t xml:space="preserve">- Araştırma &amp; </w:t>
      </w:r>
      <w:proofErr w:type="spellStart"/>
      <w:r>
        <w:rPr>
          <w:rFonts w:ascii="inherit" w:hAnsi="inherit" w:cs="Arial"/>
          <w:color w:val="5F676F"/>
          <w:spacing w:val="-1"/>
          <w:bdr w:val="none" w:sz="0" w:space="0" w:color="auto" w:frame="1"/>
        </w:rPr>
        <w:t>AnalizBorsa</w:t>
      </w:r>
      <w:proofErr w:type="spellEnd"/>
    </w:p>
    <w:p w:rsidR="00EB10FB" w:rsidRDefault="00EB10FB" w:rsidP="00EB10FB">
      <w:pPr>
        <w:pStyle w:val="NormalWeb"/>
        <w:spacing w:before="0" w:beforeAutospacing="0" w:after="0"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Anadolu Grubu Holding (</w:t>
      </w:r>
      <w:hyperlink r:id="rId6" w:tgtFrame="_blank" w:tooltip="AGHOL Hisse Fiyatı" w:history="1">
        <w:r>
          <w:rPr>
            <w:rStyle w:val="Kpr"/>
            <w:rFonts w:ascii="inherit" w:hAnsi="inherit" w:cs="Arial"/>
            <w:b/>
            <w:bCs/>
            <w:spacing w:val="-1"/>
            <w:bdr w:val="none" w:sz="0" w:space="0" w:color="auto" w:frame="1"/>
          </w:rPr>
          <w:t>AGHOL</w:t>
        </w:r>
      </w:hyperlink>
      <w:r>
        <w:rPr>
          <w:rFonts w:ascii="inherit" w:hAnsi="inherit" w:cs="Arial"/>
          <w:color w:val="000000"/>
          <w:spacing w:val="-1"/>
        </w:rPr>
        <w:t xml:space="preserve">) 2025 yılı 2. Çeyreğinde 427,88 milyon TL net kar açıkladı. Yıllık </w:t>
      </w:r>
      <w:proofErr w:type="gramStart"/>
      <w:r>
        <w:rPr>
          <w:rFonts w:ascii="inherit" w:hAnsi="inherit" w:cs="Arial"/>
          <w:color w:val="000000"/>
          <w:spacing w:val="-1"/>
        </w:rPr>
        <w:t>bazda</w:t>
      </w:r>
      <w:proofErr w:type="gramEnd"/>
      <w:r>
        <w:rPr>
          <w:rFonts w:ascii="inherit" w:hAnsi="inherit" w:cs="Arial"/>
          <w:color w:val="000000"/>
          <w:spacing w:val="-1"/>
        </w:rPr>
        <w:t xml:space="preserve"> bakıldığında net karda %82’lik azalış gerçekleşirken çeyreklik görünümde de %26’lık azalış kaydedildi.</w:t>
      </w:r>
    </w:p>
    <w:p w:rsidR="00EB10FB" w:rsidRDefault="00EB10FB" w:rsidP="00EB10FB">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noProof/>
          <w:color w:val="000000"/>
          <w:spacing w:val="-1"/>
        </w:rPr>
        <w:drawing>
          <wp:inline distT="0" distB="0" distL="0" distR="0">
            <wp:extent cx="10439400" cy="4686300"/>
            <wp:effectExtent l="0" t="0" r="0" b="0"/>
            <wp:docPr id="16" name="Resim 16" descr="https://www.gcmyatirim.com.tr/wp-content/uploads/2025/08/15/1_1755252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cmyatirim.com.tr/wp-content/uploads/2025/08/15/1_175525219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39400" cy="4686300"/>
                    </a:xfrm>
                    <a:prstGeom prst="rect">
                      <a:avLst/>
                    </a:prstGeom>
                    <a:noFill/>
                    <a:ln>
                      <a:noFill/>
                    </a:ln>
                  </pic:spPr>
                </pic:pic>
              </a:graphicData>
            </a:graphic>
          </wp:inline>
        </w:drawing>
      </w:r>
    </w:p>
    <w:p w:rsidR="00EB10FB" w:rsidRDefault="00EB10FB" w:rsidP="00EB10FB">
      <w:pPr>
        <w:pStyle w:val="NormalWeb"/>
        <w:spacing w:before="0" w:beforeAutospacing="0" w:after="0" w:afterAutospacing="0" w:line="300" w:lineRule="atLeast"/>
        <w:ind w:left="150" w:right="150"/>
        <w:jc w:val="center"/>
        <w:textAlignment w:val="baseline"/>
        <w:rPr>
          <w:rFonts w:ascii="inherit" w:hAnsi="inherit" w:cs="Arial"/>
          <w:color w:val="000000"/>
          <w:spacing w:val="-1"/>
        </w:rPr>
      </w:pPr>
      <w:r>
        <w:rPr>
          <w:rStyle w:val="Vurgu"/>
          <w:rFonts w:ascii="inherit" w:hAnsi="inherit" w:cs="Arial"/>
          <w:color w:val="000000"/>
          <w:spacing w:val="-1"/>
          <w:bdr w:val="none" w:sz="0" w:space="0" w:color="auto" w:frame="1"/>
        </w:rPr>
        <w:t xml:space="preserve">Kaynak: </w:t>
      </w:r>
      <w:proofErr w:type="spellStart"/>
      <w:r>
        <w:rPr>
          <w:rStyle w:val="Vurgu"/>
          <w:rFonts w:ascii="inherit" w:hAnsi="inherit" w:cs="Arial"/>
          <w:color w:val="000000"/>
          <w:spacing w:val="-1"/>
          <w:bdr w:val="none" w:sz="0" w:space="0" w:color="auto" w:frame="1"/>
        </w:rPr>
        <w:t>FastWeb</w:t>
      </w:r>
      <w:proofErr w:type="spellEnd"/>
    </w:p>
    <w:p w:rsidR="00EB10FB" w:rsidRDefault="00EB10FB" w:rsidP="00EB10FB">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 xml:space="preserve">Satış gelirleri, 2025 yılı ikinci çeyreğinde geçtiğimiz yılın aynı dönemine göre %6 azalış göstererek 169.433 milyon TL seviyesine ulaştı. Çeyreklik </w:t>
      </w:r>
      <w:proofErr w:type="gramStart"/>
      <w:r>
        <w:rPr>
          <w:rFonts w:ascii="inherit" w:hAnsi="inherit" w:cs="Arial"/>
          <w:color w:val="000000"/>
          <w:spacing w:val="-1"/>
        </w:rPr>
        <w:t>bazda</w:t>
      </w:r>
      <w:proofErr w:type="gramEnd"/>
      <w:r>
        <w:rPr>
          <w:rFonts w:ascii="inherit" w:hAnsi="inherit" w:cs="Arial"/>
          <w:color w:val="000000"/>
          <w:spacing w:val="-1"/>
        </w:rPr>
        <w:t xml:space="preserve"> ise %26’lık artış kaydedildi. Perakende ve Otomotiv </w:t>
      </w:r>
      <w:proofErr w:type="spellStart"/>
      <w:r>
        <w:rPr>
          <w:rFonts w:ascii="inherit" w:hAnsi="inherit" w:cs="Arial"/>
          <w:color w:val="000000"/>
          <w:spacing w:val="-1"/>
        </w:rPr>
        <w:t>segmentlerinin</w:t>
      </w:r>
      <w:proofErr w:type="spellEnd"/>
      <w:r>
        <w:rPr>
          <w:rFonts w:ascii="inherit" w:hAnsi="inherit" w:cs="Arial"/>
          <w:color w:val="000000"/>
          <w:spacing w:val="-1"/>
        </w:rPr>
        <w:t xml:space="preserve"> satış gelirleri sırasıyla yıllık %7,0 ve %7,9 artarken; Bira, Meşrubat, Tarım, Enerji ve Sanayi </w:t>
      </w:r>
      <w:proofErr w:type="spellStart"/>
      <w:r>
        <w:rPr>
          <w:rFonts w:ascii="inherit" w:hAnsi="inherit" w:cs="Arial"/>
          <w:color w:val="000000"/>
          <w:spacing w:val="-1"/>
        </w:rPr>
        <w:t>segmentlerinin</w:t>
      </w:r>
      <w:proofErr w:type="spellEnd"/>
      <w:r>
        <w:rPr>
          <w:rFonts w:ascii="inherit" w:hAnsi="inherit" w:cs="Arial"/>
          <w:color w:val="000000"/>
          <w:spacing w:val="-1"/>
        </w:rPr>
        <w:t xml:space="preserve"> satış gelirleri ise sırasıyla %4,3, %3,</w:t>
      </w:r>
      <w:proofErr w:type="gramStart"/>
      <w:r>
        <w:rPr>
          <w:rFonts w:ascii="inherit" w:hAnsi="inherit" w:cs="Arial"/>
          <w:color w:val="000000"/>
          <w:spacing w:val="-1"/>
        </w:rPr>
        <w:t>2,</w:t>
      </w:r>
      <w:proofErr w:type="gramEnd"/>
      <w:r>
        <w:rPr>
          <w:rFonts w:ascii="inherit" w:hAnsi="inherit" w:cs="Arial"/>
          <w:color w:val="000000"/>
          <w:spacing w:val="-1"/>
        </w:rPr>
        <w:t xml:space="preserve"> ve %4,2 daralmıştır.</w:t>
      </w:r>
    </w:p>
    <w:p w:rsidR="00EB10FB" w:rsidRDefault="00EB10FB" w:rsidP="00EB10FB">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 xml:space="preserve">Net kar </w:t>
      </w:r>
      <w:proofErr w:type="gramStart"/>
      <w:r>
        <w:rPr>
          <w:rFonts w:ascii="inherit" w:hAnsi="inherit" w:cs="Arial"/>
          <w:color w:val="000000"/>
          <w:spacing w:val="-1"/>
        </w:rPr>
        <w:t>marjı</w:t>
      </w:r>
      <w:proofErr w:type="gramEnd"/>
      <w:r>
        <w:rPr>
          <w:rFonts w:ascii="inherit" w:hAnsi="inherit" w:cs="Arial"/>
          <w:color w:val="000000"/>
          <w:spacing w:val="-1"/>
        </w:rPr>
        <w:t xml:space="preserve"> 2.çeyrekte 0,25% olurken, önceki çeyrekte 0,43% ve geçen yılın aynı çeyreğinde 1,35% olmuştu. Brüt kar </w:t>
      </w:r>
      <w:proofErr w:type="gramStart"/>
      <w:r>
        <w:rPr>
          <w:rFonts w:ascii="inherit" w:hAnsi="inherit" w:cs="Arial"/>
          <w:color w:val="000000"/>
          <w:spacing w:val="-1"/>
        </w:rPr>
        <w:t>marjı</w:t>
      </w:r>
      <w:proofErr w:type="gramEnd"/>
      <w:r>
        <w:rPr>
          <w:rFonts w:ascii="inherit" w:hAnsi="inherit" w:cs="Arial"/>
          <w:color w:val="000000"/>
          <w:spacing w:val="-1"/>
        </w:rPr>
        <w:t xml:space="preserve"> 2.çeyrekte 28,50% olurken, önceki çeyrekte 25,40% ve geçen yılın aynı döneminde 30,76% olarak gerçekleşmişti.</w:t>
      </w:r>
    </w:p>
    <w:p w:rsidR="00EB10FB" w:rsidRDefault="00EB10FB" w:rsidP="00EB10FB">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lastRenderedPageBreak/>
        <w:t xml:space="preserve">FAVÖK 2025 yılı 2. çeyreğinde geçen yılın aynı çeyreğine göre %18 azalışla 18.200 milyon TL olarak gerçekleşti. Bir önceki çeyreğe göre ise </w:t>
      </w:r>
      <w:proofErr w:type="spellStart"/>
      <w:r>
        <w:rPr>
          <w:rFonts w:ascii="inherit" w:hAnsi="inherit" w:cs="Arial"/>
          <w:color w:val="000000"/>
          <w:spacing w:val="-1"/>
        </w:rPr>
        <w:t>FAVÖK’te</w:t>
      </w:r>
      <w:proofErr w:type="spellEnd"/>
      <w:r>
        <w:rPr>
          <w:rFonts w:ascii="inherit" w:hAnsi="inherit" w:cs="Arial"/>
          <w:color w:val="000000"/>
          <w:spacing w:val="-1"/>
        </w:rPr>
        <w:t xml:space="preserve"> %143’lük artış dikkat çekti. FAVÖK </w:t>
      </w:r>
      <w:proofErr w:type="gramStart"/>
      <w:r>
        <w:rPr>
          <w:rFonts w:ascii="inherit" w:hAnsi="inherit" w:cs="Arial"/>
          <w:color w:val="000000"/>
          <w:spacing w:val="-1"/>
        </w:rPr>
        <w:t>marjı</w:t>
      </w:r>
      <w:proofErr w:type="gramEnd"/>
      <w:r>
        <w:rPr>
          <w:rFonts w:ascii="inherit" w:hAnsi="inherit" w:cs="Arial"/>
          <w:color w:val="000000"/>
          <w:spacing w:val="-1"/>
        </w:rPr>
        <w:t xml:space="preserve"> ise 2. çeyrekte geçen yılın aynı çeyreğine göre 1,62 puan azalışla %10,74 oldu. Bir önceki çeyrekte FAVÖK </w:t>
      </w:r>
      <w:proofErr w:type="gramStart"/>
      <w:r>
        <w:rPr>
          <w:rFonts w:ascii="inherit" w:hAnsi="inherit" w:cs="Arial"/>
          <w:color w:val="000000"/>
          <w:spacing w:val="-1"/>
        </w:rPr>
        <w:t>marjı</w:t>
      </w:r>
      <w:proofErr w:type="gramEnd"/>
      <w:r>
        <w:rPr>
          <w:rFonts w:ascii="inherit" w:hAnsi="inherit" w:cs="Arial"/>
          <w:color w:val="000000"/>
          <w:spacing w:val="-1"/>
        </w:rPr>
        <w:t xml:space="preserve"> %5,56 seviyesindeydi. Çeyreklik </w:t>
      </w:r>
      <w:proofErr w:type="gramStart"/>
      <w:r>
        <w:rPr>
          <w:rFonts w:ascii="inherit" w:hAnsi="inherit" w:cs="Arial"/>
          <w:color w:val="000000"/>
          <w:spacing w:val="-1"/>
        </w:rPr>
        <w:t>bazda</w:t>
      </w:r>
      <w:proofErr w:type="gramEnd"/>
      <w:r>
        <w:rPr>
          <w:rFonts w:ascii="inherit" w:hAnsi="inherit" w:cs="Arial"/>
          <w:color w:val="000000"/>
          <w:spacing w:val="-1"/>
        </w:rPr>
        <w:t xml:space="preserve"> FAVÖK marjında 5,18 puan artış gerçekleşti.</w:t>
      </w:r>
    </w:p>
    <w:p w:rsidR="00EB10FB" w:rsidRDefault="00EB10FB" w:rsidP="00EB10FB">
      <w:pPr>
        <w:pStyle w:val="Balk2"/>
        <w:spacing w:before="0" w:beforeAutospacing="0" w:after="0" w:afterAutospacing="0" w:line="360" w:lineRule="atLeast"/>
        <w:ind w:left="150" w:right="150"/>
        <w:textAlignment w:val="baseline"/>
        <w:rPr>
          <w:rFonts w:ascii="inherit" w:hAnsi="inherit" w:cs="Arial"/>
          <w:color w:val="0A4975"/>
          <w:spacing w:val="-1"/>
          <w:sz w:val="27"/>
          <w:szCs w:val="27"/>
        </w:rPr>
      </w:pPr>
      <w:r>
        <w:rPr>
          <w:rStyle w:val="Gl"/>
          <w:rFonts w:ascii="inherit" w:hAnsi="inherit" w:cs="Arial"/>
          <w:b/>
          <w:bCs/>
          <w:color w:val="0A4975"/>
          <w:spacing w:val="-1"/>
          <w:sz w:val="27"/>
          <w:szCs w:val="27"/>
          <w:bdr w:val="none" w:sz="0" w:space="0" w:color="auto" w:frame="1"/>
        </w:rPr>
        <w:t>Ana İş Kollarının Performans Değerlendirmesi</w:t>
      </w:r>
    </w:p>
    <w:p w:rsidR="00EB10FB" w:rsidRDefault="00EB10FB" w:rsidP="00EB10FB">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noProof/>
          <w:color w:val="000000"/>
          <w:spacing w:val="-1"/>
        </w:rPr>
        <w:drawing>
          <wp:inline distT="0" distB="0" distL="0" distR="0">
            <wp:extent cx="9458325" cy="3048000"/>
            <wp:effectExtent l="0" t="0" r="9525" b="0"/>
            <wp:docPr id="15" name="Resim 15" descr="https://www.gcmyatirim.com.tr/wp-content/uploads/2025/08/15/2_1755252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gcmyatirim.com.tr/wp-content/uploads/2025/08/15/2_1755252219.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58325" cy="3048000"/>
                    </a:xfrm>
                    <a:prstGeom prst="rect">
                      <a:avLst/>
                    </a:prstGeom>
                    <a:noFill/>
                    <a:ln>
                      <a:noFill/>
                    </a:ln>
                  </pic:spPr>
                </pic:pic>
              </a:graphicData>
            </a:graphic>
          </wp:inline>
        </w:drawing>
      </w:r>
    </w:p>
    <w:p w:rsidR="00EB10FB" w:rsidRDefault="00EB10FB" w:rsidP="00EB10FB">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Meşrubat Grubu</w:t>
      </w:r>
      <w:r>
        <w:rPr>
          <w:rFonts w:ascii="inherit" w:hAnsi="inherit" w:cs="Arial"/>
          <w:color w:val="000000"/>
          <w:spacing w:val="-1"/>
        </w:rPr>
        <w:t xml:space="preserve">: İkinci çeyrekte daha dengeli bir hacim ve değer büyümesi elde ederek karlılığını artırdı. Çeşitlendirilmiş ülke portföyü sayesinde </w:t>
      </w:r>
      <w:proofErr w:type="gramStart"/>
      <w:r>
        <w:rPr>
          <w:rFonts w:ascii="inherit" w:hAnsi="inherit" w:cs="Arial"/>
          <w:color w:val="000000"/>
          <w:spacing w:val="-1"/>
        </w:rPr>
        <w:t>konsolide</w:t>
      </w:r>
      <w:proofErr w:type="gramEnd"/>
      <w:r>
        <w:rPr>
          <w:rFonts w:ascii="inherit" w:hAnsi="inherit" w:cs="Arial"/>
          <w:color w:val="000000"/>
          <w:spacing w:val="-1"/>
        </w:rPr>
        <w:t xml:space="preserve"> bazda orta-tek haneli hacim artışı sağlandı. Sürdürülebilir büyüme ve pazar dalgalanmalarına uyum becerisi korunurken, yılın kalanında ciro artışının hızlanması ve maliyetlerin dengelenmesi bekleniyor. 2025 öngörüleri değişmedi.</w:t>
      </w:r>
    </w:p>
    <w:p w:rsidR="00EB10FB" w:rsidRDefault="00EB10FB" w:rsidP="00EB10FB">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Bira Grubu</w:t>
      </w:r>
      <w:r>
        <w:rPr>
          <w:rFonts w:ascii="inherit" w:hAnsi="inherit" w:cs="Arial"/>
          <w:color w:val="000000"/>
          <w:spacing w:val="-1"/>
        </w:rPr>
        <w:t xml:space="preserve">: Yılın en yüksek katkı sağlayan dönemlerinden biri olan 2Ç25’te 3,8 milyar TL tutarında Serbest Nakit Akışı yarattı. Tüm operasyonların katkısıyla ikinci çeyrekte %5,3 hacim artışıyla güçlü performans gösterdi. Zorluklara rağmen geniş coğrafi yayılım, güçlü markalar ve çevik iş modeli olumlu sonuçlar sağladı. Yılın ikinci yarısında, </w:t>
      </w:r>
      <w:proofErr w:type="gramStart"/>
      <w:r>
        <w:rPr>
          <w:rFonts w:ascii="inherit" w:hAnsi="inherit" w:cs="Arial"/>
          <w:color w:val="000000"/>
          <w:spacing w:val="-1"/>
        </w:rPr>
        <w:t>portföy</w:t>
      </w:r>
      <w:proofErr w:type="gramEnd"/>
      <w:r>
        <w:rPr>
          <w:rFonts w:ascii="inherit" w:hAnsi="inherit" w:cs="Arial"/>
          <w:color w:val="000000"/>
          <w:spacing w:val="-1"/>
        </w:rPr>
        <w:t xml:space="preserve"> optimizasyonu, lokalizasyon odaklı büyüme ve karlılık artışı öncelikleriyle sürdürülebilir nakit akışı hedefleniyor.</w:t>
      </w:r>
    </w:p>
    <w:p w:rsidR="00EB10FB" w:rsidRDefault="00EB10FB" w:rsidP="00EB10FB">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Migros Grubu</w:t>
      </w:r>
      <w:r>
        <w:rPr>
          <w:rFonts w:ascii="inherit" w:hAnsi="inherit" w:cs="Arial"/>
          <w:color w:val="000000"/>
          <w:spacing w:val="-1"/>
        </w:rPr>
        <w:t xml:space="preserve">: Migros’un net satış gelirleri 2025’in ilk yarısında %7 artarak 174,8 milyar TL’ye ulaştı. Şirket, FMCG pazarının genelinde ve modern </w:t>
      </w:r>
      <w:proofErr w:type="spellStart"/>
      <w:r>
        <w:rPr>
          <w:rFonts w:ascii="inherit" w:hAnsi="inherit" w:cs="Arial"/>
          <w:color w:val="000000"/>
          <w:spacing w:val="-1"/>
        </w:rPr>
        <w:t>segmentte</w:t>
      </w:r>
      <w:proofErr w:type="spellEnd"/>
      <w:r>
        <w:rPr>
          <w:rFonts w:ascii="inherit" w:hAnsi="inherit" w:cs="Arial"/>
          <w:color w:val="000000"/>
          <w:spacing w:val="-1"/>
        </w:rPr>
        <w:t xml:space="preserve"> pazar payını artırmaya devam etti. Zorlu tüketim ortamı ve güçlü </w:t>
      </w:r>
      <w:proofErr w:type="gramStart"/>
      <w:r>
        <w:rPr>
          <w:rFonts w:ascii="inherit" w:hAnsi="inherit" w:cs="Arial"/>
          <w:color w:val="000000"/>
          <w:spacing w:val="-1"/>
        </w:rPr>
        <w:t>baz</w:t>
      </w:r>
      <w:proofErr w:type="gramEnd"/>
      <w:r>
        <w:rPr>
          <w:rFonts w:ascii="inherit" w:hAnsi="inherit" w:cs="Arial"/>
          <w:color w:val="000000"/>
          <w:spacing w:val="-1"/>
        </w:rPr>
        <w:t xml:space="preserve"> yılına rağmen ikinci çeyrekte gelir büyümesini ve pazar payı artışını sürdürdü. Artan işgücü maliyetlerine rağmen karlılık yılın ilk yarısında makul seviyede kaldı. Bu maliyet baskısının yılın ikinci yarısında azalması bekleniyor. 2025 beklentileri değişmedi.</w:t>
      </w:r>
    </w:p>
    <w:p w:rsidR="00EB10FB" w:rsidRDefault="00EB10FB" w:rsidP="00EB10FB">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Otomotiv Grubu</w:t>
      </w:r>
      <w:r>
        <w:rPr>
          <w:rFonts w:ascii="inherit" w:hAnsi="inherit" w:cs="Arial"/>
          <w:color w:val="000000"/>
          <w:spacing w:val="-1"/>
        </w:rPr>
        <w:t xml:space="preserve">: Çelik Motor ile binek araç </w:t>
      </w:r>
      <w:proofErr w:type="spellStart"/>
      <w:r>
        <w:rPr>
          <w:rFonts w:ascii="inherit" w:hAnsi="inherit" w:cs="Arial"/>
          <w:color w:val="000000"/>
          <w:spacing w:val="-1"/>
        </w:rPr>
        <w:t>segmentinde</w:t>
      </w:r>
      <w:proofErr w:type="spellEnd"/>
      <w:r>
        <w:rPr>
          <w:rFonts w:ascii="inherit" w:hAnsi="inherit" w:cs="Arial"/>
          <w:color w:val="000000"/>
          <w:spacing w:val="-1"/>
        </w:rPr>
        <w:t xml:space="preserve"> pazar payını artırarak güçlü gelir büyümesi sağladı. Anadolu ISUZU, GSR uyum sürecindeki gecikmeler nedeniyle satışlarda düşüş yaşarken, TL’nin güçlü seyri ihracatı olumsuz etkiledi. Yüksek rekabet ortamı genel karlılık üzerinde baskı yaratıyor. Otomotiv </w:t>
      </w:r>
      <w:proofErr w:type="spellStart"/>
      <w:r>
        <w:rPr>
          <w:rFonts w:ascii="inherit" w:hAnsi="inherit" w:cs="Arial"/>
          <w:color w:val="000000"/>
          <w:spacing w:val="-1"/>
        </w:rPr>
        <w:t>segmenti</w:t>
      </w:r>
      <w:proofErr w:type="spellEnd"/>
      <w:r>
        <w:rPr>
          <w:rFonts w:ascii="inherit" w:hAnsi="inherit" w:cs="Arial"/>
          <w:color w:val="000000"/>
          <w:spacing w:val="-1"/>
        </w:rPr>
        <w:t xml:space="preserve"> toplam satış gelirlerinin </w:t>
      </w:r>
      <w:r>
        <w:rPr>
          <w:rFonts w:ascii="inherit" w:hAnsi="inherit" w:cs="Arial"/>
          <w:color w:val="000000"/>
          <w:spacing w:val="-1"/>
        </w:rPr>
        <w:lastRenderedPageBreak/>
        <w:t xml:space="preserve">%64’ünü Çelik Motor, %33’ünü Anadolu </w:t>
      </w:r>
      <w:proofErr w:type="spellStart"/>
      <w:r>
        <w:rPr>
          <w:rFonts w:ascii="inherit" w:hAnsi="inherit" w:cs="Arial"/>
          <w:color w:val="000000"/>
          <w:spacing w:val="-1"/>
        </w:rPr>
        <w:t>Isuzu</w:t>
      </w:r>
      <w:proofErr w:type="spellEnd"/>
      <w:r>
        <w:rPr>
          <w:rFonts w:ascii="inherit" w:hAnsi="inherit" w:cs="Arial"/>
          <w:color w:val="000000"/>
          <w:spacing w:val="-1"/>
        </w:rPr>
        <w:t xml:space="preserve"> ve %2’sini Anadolu Motor oluşturmaktadır.</w:t>
      </w:r>
    </w:p>
    <w:p w:rsidR="00EB10FB" w:rsidRDefault="00EB10FB" w:rsidP="00EB10FB">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Gl"/>
          <w:rFonts w:ascii="inherit" w:hAnsi="inherit" w:cs="Arial"/>
          <w:color w:val="000000"/>
          <w:spacing w:val="-1"/>
          <w:bdr w:val="none" w:sz="0" w:space="0" w:color="auto" w:frame="1"/>
        </w:rPr>
        <w:t>Diğer:</w:t>
      </w:r>
      <w:r>
        <w:rPr>
          <w:rFonts w:ascii="inherit" w:hAnsi="inherit" w:cs="Arial"/>
          <w:color w:val="000000"/>
          <w:spacing w:val="-1"/>
        </w:rPr>
        <w:t> </w:t>
      </w:r>
      <w:proofErr w:type="spellStart"/>
      <w:r>
        <w:rPr>
          <w:rFonts w:ascii="inherit" w:hAnsi="inherit" w:cs="Arial"/>
          <w:color w:val="000000"/>
          <w:spacing w:val="-1"/>
        </w:rPr>
        <w:t>Segmentin</w:t>
      </w:r>
      <w:proofErr w:type="spellEnd"/>
      <w:r>
        <w:rPr>
          <w:rFonts w:ascii="inherit" w:hAnsi="inherit" w:cs="Arial"/>
          <w:color w:val="000000"/>
          <w:spacing w:val="-1"/>
        </w:rPr>
        <w:t xml:space="preserve"> satış gelirleri %31,2 artarak 946 milyon TL’ye ulaşırken, net zararı -2,4 milyar TL oldu. </w:t>
      </w:r>
      <w:proofErr w:type="spellStart"/>
      <w:r>
        <w:rPr>
          <w:rFonts w:ascii="inherit" w:hAnsi="inherit" w:cs="Arial"/>
          <w:color w:val="000000"/>
          <w:spacing w:val="-1"/>
        </w:rPr>
        <w:t>Segment</w:t>
      </w:r>
      <w:proofErr w:type="spellEnd"/>
      <w:r>
        <w:rPr>
          <w:rFonts w:ascii="inherit" w:hAnsi="inherit" w:cs="Arial"/>
          <w:color w:val="000000"/>
          <w:spacing w:val="-1"/>
        </w:rPr>
        <w:t xml:space="preserve"> net karındaki düşüşün temel nedeni, iş ortaklıklarının zayıf finansal performansından kaynaklandı.</w:t>
      </w:r>
    </w:p>
    <w:p w:rsidR="00EB10FB" w:rsidRDefault="00EB10FB" w:rsidP="00EB10FB">
      <w:pPr>
        <w:pStyle w:val="Balk2"/>
        <w:spacing w:before="0" w:beforeAutospacing="0" w:after="0" w:afterAutospacing="0" w:line="360" w:lineRule="atLeast"/>
        <w:ind w:left="150" w:right="150"/>
        <w:textAlignment w:val="baseline"/>
        <w:rPr>
          <w:rFonts w:ascii="inherit" w:hAnsi="inherit" w:cs="Arial"/>
          <w:color w:val="0A4975"/>
          <w:spacing w:val="-1"/>
          <w:sz w:val="27"/>
          <w:szCs w:val="27"/>
        </w:rPr>
      </w:pPr>
      <w:r>
        <w:rPr>
          <w:rStyle w:val="Gl"/>
          <w:rFonts w:ascii="inherit" w:hAnsi="inherit" w:cs="Arial"/>
          <w:b/>
          <w:bCs/>
          <w:color w:val="0A4975"/>
          <w:spacing w:val="-1"/>
          <w:sz w:val="27"/>
          <w:szCs w:val="27"/>
          <w:bdr w:val="none" w:sz="0" w:space="0" w:color="auto" w:frame="1"/>
        </w:rPr>
        <w:t>2025 Yılı Görünümü ve Öncelikler</w:t>
      </w:r>
    </w:p>
    <w:p w:rsidR="00EB10FB" w:rsidRDefault="00EB10FB" w:rsidP="00EB10FB">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 xml:space="preserve">Pazarda devam eden dalgalanma ve belirsizliklerin yanında tüketici güveninde oluşan zayıflık nedeniyle yılın geri kalanında da temkinli bakış açısı korunmaktadır. Sene başında paylaşılan öngörüler geçerliliğini koruyor. Haziran’daki ilk Yatırımcı Günü’nde, 20 ülkede 1 milyardan fazla tüketiciye ulaşan Anadolu Grubu’nun dönüşüm </w:t>
      </w:r>
      <w:proofErr w:type="gramStart"/>
      <w:r>
        <w:rPr>
          <w:rFonts w:ascii="inherit" w:hAnsi="inherit" w:cs="Arial"/>
          <w:color w:val="000000"/>
          <w:spacing w:val="-1"/>
        </w:rPr>
        <w:t>hikayesini</w:t>
      </w:r>
      <w:proofErr w:type="gramEnd"/>
      <w:r>
        <w:rPr>
          <w:rFonts w:ascii="inherit" w:hAnsi="inherit" w:cs="Arial"/>
          <w:color w:val="000000"/>
          <w:spacing w:val="-1"/>
        </w:rPr>
        <w:t xml:space="preserve"> ve ‘Vizyon 2035’ planını yatırımcılarla paylaştı. Dayanıklılığı artırma, disiplinli </w:t>
      </w:r>
      <w:proofErr w:type="gramStart"/>
      <w:r>
        <w:rPr>
          <w:rFonts w:ascii="inherit" w:hAnsi="inherit" w:cs="Arial"/>
          <w:color w:val="000000"/>
          <w:spacing w:val="-1"/>
        </w:rPr>
        <w:t>portföy</w:t>
      </w:r>
      <w:proofErr w:type="gramEnd"/>
      <w:r>
        <w:rPr>
          <w:rFonts w:ascii="inherit" w:hAnsi="inherit" w:cs="Arial"/>
          <w:color w:val="000000"/>
          <w:spacing w:val="-1"/>
        </w:rPr>
        <w:t xml:space="preserve"> ve finansal yönetim, nitelikli büyüme ve sürdürülebilir değer yaratma stratejileri vurgulandı. Çeşitlendirilmiş gelir yapısı ve güçlü yönetimiyle küresel belirsizliklere rağmen stratejik hedeflerine ilerliyor.</w:t>
      </w:r>
    </w:p>
    <w:p w:rsidR="00EB10FB" w:rsidRDefault="00EB10FB" w:rsidP="00EB10FB">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 xml:space="preserve">Anadolu </w:t>
      </w:r>
      <w:proofErr w:type="spellStart"/>
      <w:r>
        <w:rPr>
          <w:rFonts w:ascii="inherit" w:hAnsi="inherit" w:cs="Arial"/>
          <w:color w:val="000000"/>
          <w:spacing w:val="-1"/>
        </w:rPr>
        <w:t>Isuzu</w:t>
      </w:r>
      <w:proofErr w:type="spellEnd"/>
      <w:r>
        <w:rPr>
          <w:rFonts w:ascii="inherit" w:hAnsi="inherit" w:cs="Arial"/>
          <w:color w:val="000000"/>
          <w:spacing w:val="-1"/>
        </w:rPr>
        <w:t xml:space="preserve">, Özbekistan’daki JV </w:t>
      </w:r>
      <w:proofErr w:type="spellStart"/>
      <w:r>
        <w:rPr>
          <w:rFonts w:ascii="inherit" w:hAnsi="inherit" w:cs="Arial"/>
          <w:color w:val="000000"/>
          <w:spacing w:val="-1"/>
        </w:rPr>
        <w:t>SamAuto</w:t>
      </w:r>
      <w:proofErr w:type="spellEnd"/>
      <w:r>
        <w:rPr>
          <w:rFonts w:ascii="inherit" w:hAnsi="inherit" w:cs="Arial"/>
          <w:color w:val="000000"/>
          <w:spacing w:val="-1"/>
        </w:rPr>
        <w:t xml:space="preserve"> </w:t>
      </w:r>
      <w:proofErr w:type="spellStart"/>
      <w:r>
        <w:rPr>
          <w:rFonts w:ascii="inherit" w:hAnsi="inherit" w:cs="Arial"/>
          <w:color w:val="000000"/>
          <w:spacing w:val="-1"/>
        </w:rPr>
        <w:t>LLC’nin</w:t>
      </w:r>
      <w:proofErr w:type="spellEnd"/>
      <w:r>
        <w:rPr>
          <w:rFonts w:ascii="inherit" w:hAnsi="inherit" w:cs="Arial"/>
          <w:color w:val="000000"/>
          <w:spacing w:val="-1"/>
        </w:rPr>
        <w:t xml:space="preserve"> %75,2 hissesini satın almak için görüşmeler yürütüyor. Süreç tamamlandığında otomotiv </w:t>
      </w:r>
      <w:proofErr w:type="spellStart"/>
      <w:r>
        <w:rPr>
          <w:rFonts w:ascii="inherit" w:hAnsi="inherit" w:cs="Arial"/>
          <w:color w:val="000000"/>
          <w:spacing w:val="-1"/>
        </w:rPr>
        <w:t>segmentinde</w:t>
      </w:r>
      <w:proofErr w:type="spellEnd"/>
      <w:r>
        <w:rPr>
          <w:rFonts w:ascii="inherit" w:hAnsi="inherit" w:cs="Arial"/>
          <w:color w:val="000000"/>
          <w:spacing w:val="-1"/>
        </w:rPr>
        <w:t xml:space="preserve"> uluslararası operasyonlar genişleyecek. Anadolu Grubu, organik ve inorganik büyüme fırsatlarını değerlendirerek kaliteli büyüme odağını sürdürüyor. Disiplinli maliyet ve bilanço yönetimi, nakit yaratımı, risk yönetimi ve </w:t>
      </w:r>
      <w:proofErr w:type="spellStart"/>
      <w:r>
        <w:rPr>
          <w:rFonts w:ascii="inherit" w:hAnsi="inherit" w:cs="Arial"/>
          <w:color w:val="000000"/>
          <w:spacing w:val="-1"/>
        </w:rPr>
        <w:t>operasyonel</w:t>
      </w:r>
      <w:proofErr w:type="spellEnd"/>
      <w:r>
        <w:rPr>
          <w:rFonts w:ascii="inherit" w:hAnsi="inherit" w:cs="Arial"/>
          <w:color w:val="000000"/>
          <w:spacing w:val="-1"/>
        </w:rPr>
        <w:t xml:space="preserve"> mükemmeliyet başlıkları öncelikleri olmaya devam edecek.</w:t>
      </w:r>
    </w:p>
    <w:p w:rsidR="00EB10FB" w:rsidRDefault="00EB10FB" w:rsidP="00EB10FB">
      <w:pPr>
        <w:pStyle w:val="Balk2"/>
        <w:spacing w:before="0" w:beforeAutospacing="0" w:after="0" w:afterAutospacing="0" w:line="360" w:lineRule="atLeast"/>
        <w:ind w:left="150" w:right="150"/>
        <w:textAlignment w:val="baseline"/>
        <w:rPr>
          <w:rFonts w:ascii="inherit" w:hAnsi="inherit" w:cs="Arial"/>
          <w:color w:val="0A4975"/>
          <w:spacing w:val="-1"/>
          <w:sz w:val="27"/>
          <w:szCs w:val="27"/>
        </w:rPr>
      </w:pPr>
      <w:r>
        <w:rPr>
          <w:rStyle w:val="Gl"/>
          <w:rFonts w:ascii="inherit" w:hAnsi="inherit" w:cs="Arial"/>
          <w:b/>
          <w:bCs/>
          <w:color w:val="0A4975"/>
          <w:spacing w:val="-1"/>
          <w:sz w:val="27"/>
          <w:szCs w:val="27"/>
          <w:bdr w:val="none" w:sz="0" w:space="0" w:color="auto" w:frame="1"/>
        </w:rPr>
        <w:t>Değerleme:</w:t>
      </w:r>
    </w:p>
    <w:p w:rsidR="00EB10FB" w:rsidRDefault="00EB10FB" w:rsidP="00EB10FB">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Holding sektörüne yönelik 55 şirket yer almaktadır. Modellememiz içerisinde dikkate aldığımız Piyasa Değeri / Net Aktif Değer çarpanını rasyonel bir şekilde inceleyebilmek adına sektörün geneli içerisinde piyasa değeri 25 milyar TL ve 100 milyar TL üzerindeki şirketleri filtreleyerek nihai sonuca ulaştık.</w:t>
      </w:r>
    </w:p>
    <w:p w:rsidR="00EB10FB" w:rsidRDefault="00EB10FB" w:rsidP="00EB10FB">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25 milyar TL ve üzerinde olan 18 şirketin PD/NAD medyan değeri 0,92. Bu filtreleme, piyasa değeri 100 milyar TL ve üzerindeki 4 şirkete göre revize edildiğinde medyan değeri 0,75 olarak değişmektedir.</w:t>
      </w:r>
    </w:p>
    <w:p w:rsidR="00EB10FB" w:rsidRDefault="00EB10FB" w:rsidP="00EB10FB">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Vurgu"/>
          <w:rFonts w:ascii="inherit" w:hAnsi="inherit" w:cs="Arial"/>
          <w:color w:val="000000"/>
          <w:spacing w:val="-1"/>
          <w:bdr w:val="none" w:sz="0" w:space="0" w:color="auto" w:frame="1"/>
        </w:rPr>
        <w:t xml:space="preserve">*** Burada sektör içerisinde </w:t>
      </w:r>
      <w:proofErr w:type="gramStart"/>
      <w:r>
        <w:rPr>
          <w:rStyle w:val="Vurgu"/>
          <w:rFonts w:ascii="inherit" w:hAnsi="inherit" w:cs="Arial"/>
          <w:color w:val="000000"/>
          <w:spacing w:val="-1"/>
          <w:bdr w:val="none" w:sz="0" w:space="0" w:color="auto" w:frame="1"/>
        </w:rPr>
        <w:t>baz</w:t>
      </w:r>
      <w:proofErr w:type="gramEnd"/>
      <w:r>
        <w:rPr>
          <w:rStyle w:val="Vurgu"/>
          <w:rFonts w:ascii="inherit" w:hAnsi="inherit" w:cs="Arial"/>
          <w:color w:val="000000"/>
          <w:spacing w:val="-1"/>
          <w:bdr w:val="none" w:sz="0" w:space="0" w:color="auto" w:frame="1"/>
        </w:rPr>
        <w:t xml:space="preserve"> aldığımız şirketlerin hepsi 2. çeyrek finansal sonuçlarını açıklamadı. Bu sebeple de şirketlerden gelecek her güncel bilgi ile çarpanlarda değişikliklerin olabileceği göz ardı edilmemelidir.</w:t>
      </w:r>
    </w:p>
    <w:p w:rsidR="00EB10FB" w:rsidRDefault="00EB10FB" w:rsidP="00EB10FB">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t>Şuan en güncel haliyle sektör bazında PD/NAD çarpan ortalamasının 0,83 olduğunu görmekteyiz.</w:t>
      </w:r>
    </w:p>
    <w:p w:rsidR="00EB10FB" w:rsidRDefault="00EB10FB" w:rsidP="00EB10FB">
      <w:pPr>
        <w:pStyle w:val="NormalWeb"/>
        <w:spacing w:before="0" w:beforeAutospacing="0" w:after="0" w:afterAutospacing="0" w:line="300" w:lineRule="atLeast"/>
        <w:ind w:left="150" w:right="150"/>
        <w:textAlignment w:val="baseline"/>
        <w:rPr>
          <w:rFonts w:ascii="inherit" w:hAnsi="inherit" w:cs="Arial"/>
          <w:color w:val="000000"/>
          <w:spacing w:val="-1"/>
        </w:rPr>
      </w:pPr>
      <w:r>
        <w:rPr>
          <w:rFonts w:ascii="inherit" w:hAnsi="inherit" w:cs="Arial"/>
          <w:i/>
          <w:iCs/>
          <w:noProof/>
          <w:color w:val="000000"/>
          <w:spacing w:val="-1"/>
          <w:bdr w:val="none" w:sz="0" w:space="0" w:color="auto" w:frame="1"/>
        </w:rPr>
        <w:lastRenderedPageBreak/>
        <w:drawing>
          <wp:inline distT="0" distB="0" distL="0" distR="0">
            <wp:extent cx="5286375" cy="6534150"/>
            <wp:effectExtent l="0" t="0" r="9525" b="0"/>
            <wp:docPr id="3" name="Resim 3" descr="https://www.gcmyatirim.com.tr/wp-content/uploads/2025/08/15/carpan-1_17552522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gcmyatirim.com.tr/wp-content/uploads/2025/08/15/carpan-1_1755252247.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6375" cy="6534150"/>
                    </a:xfrm>
                    <a:prstGeom prst="rect">
                      <a:avLst/>
                    </a:prstGeom>
                    <a:noFill/>
                    <a:ln>
                      <a:noFill/>
                    </a:ln>
                  </pic:spPr>
                </pic:pic>
              </a:graphicData>
            </a:graphic>
          </wp:inline>
        </w:drawing>
      </w:r>
    </w:p>
    <w:p w:rsidR="00EB10FB" w:rsidRDefault="00EB10FB" w:rsidP="00EB10FB">
      <w:pPr>
        <w:pStyle w:val="NormalWeb"/>
        <w:spacing w:before="0" w:beforeAutospacing="0" w:after="0" w:afterAutospacing="0" w:line="300" w:lineRule="atLeast"/>
        <w:ind w:left="150" w:right="150"/>
        <w:textAlignment w:val="baseline"/>
        <w:rPr>
          <w:rFonts w:ascii="inherit" w:hAnsi="inherit" w:cs="Arial"/>
          <w:color w:val="000000"/>
          <w:spacing w:val="-1"/>
        </w:rPr>
      </w:pPr>
      <w:r>
        <w:rPr>
          <w:rStyle w:val="Vurgu"/>
          <w:rFonts w:ascii="inherit" w:hAnsi="inherit" w:cs="Arial"/>
          <w:color w:val="000000"/>
          <w:spacing w:val="-1"/>
          <w:bdr w:val="none" w:sz="0" w:space="0" w:color="auto" w:frame="1"/>
        </w:rPr>
        <w:t xml:space="preserve">Net Aktif Değer (NAD) modeli ve </w:t>
      </w:r>
      <w:proofErr w:type="spellStart"/>
      <w:r>
        <w:rPr>
          <w:rStyle w:val="Vurgu"/>
          <w:rFonts w:ascii="inherit" w:hAnsi="inherit" w:cs="Arial"/>
          <w:color w:val="000000"/>
          <w:spacing w:val="-1"/>
          <w:bdr w:val="none" w:sz="0" w:space="0" w:color="auto" w:frame="1"/>
        </w:rPr>
        <w:t>sektörel</w:t>
      </w:r>
      <w:proofErr w:type="spellEnd"/>
      <w:r>
        <w:rPr>
          <w:rStyle w:val="Vurgu"/>
          <w:rFonts w:ascii="inherit" w:hAnsi="inherit" w:cs="Arial"/>
          <w:color w:val="000000"/>
          <w:spacing w:val="-1"/>
          <w:bdr w:val="none" w:sz="0" w:space="0" w:color="auto" w:frame="1"/>
        </w:rPr>
        <w:t xml:space="preserve"> </w:t>
      </w:r>
      <w:proofErr w:type="gramStart"/>
      <w:r>
        <w:rPr>
          <w:rStyle w:val="Vurgu"/>
          <w:rFonts w:ascii="inherit" w:hAnsi="inherit" w:cs="Arial"/>
          <w:color w:val="000000"/>
          <w:spacing w:val="-1"/>
          <w:bdr w:val="none" w:sz="0" w:space="0" w:color="auto" w:frame="1"/>
        </w:rPr>
        <w:t>bazda</w:t>
      </w:r>
      <w:proofErr w:type="gramEnd"/>
      <w:r>
        <w:rPr>
          <w:rStyle w:val="Vurgu"/>
          <w:rFonts w:ascii="inherit" w:hAnsi="inherit" w:cs="Arial"/>
          <w:color w:val="000000"/>
          <w:spacing w:val="-1"/>
          <w:bdr w:val="none" w:sz="0" w:space="0" w:color="auto" w:frame="1"/>
        </w:rPr>
        <w:t xml:space="preserve"> Piyasa Değeri / Net Aktif Değer çarpan kıyaslaması dikkate alındığında </w:t>
      </w:r>
      <w:r>
        <w:rPr>
          <w:rStyle w:val="Gl"/>
          <w:rFonts w:ascii="inherit" w:hAnsi="inherit" w:cs="Arial"/>
          <w:i/>
          <w:iCs/>
          <w:color w:val="000000"/>
          <w:spacing w:val="-1"/>
          <w:bdr w:val="none" w:sz="0" w:space="0" w:color="auto" w:frame="1"/>
        </w:rPr>
        <w:t>AGHOL şirketine yönelik tahminimiz 42,52 TL</w:t>
      </w:r>
      <w:r>
        <w:rPr>
          <w:rStyle w:val="Vurgu"/>
          <w:rFonts w:ascii="inherit" w:hAnsi="inherit" w:cs="Arial"/>
          <w:color w:val="000000"/>
          <w:spacing w:val="-1"/>
          <w:bdr w:val="none" w:sz="0" w:space="0" w:color="auto" w:frame="1"/>
        </w:rPr>
        <w:t>. Güncel rakam ile mukayese edildiğinde %48'lik bir getiri karşımıza çıkmaktadır.</w:t>
      </w:r>
    </w:p>
    <w:p w:rsidR="00EB10FB" w:rsidRDefault="00EB10FB" w:rsidP="00EB10FB">
      <w:pPr>
        <w:pStyle w:val="NormalWeb"/>
        <w:spacing w:before="0" w:beforeAutospacing="0" w:after="0" w:afterAutospacing="0" w:line="300" w:lineRule="atLeast"/>
        <w:ind w:left="150" w:right="150"/>
        <w:textAlignment w:val="baseline"/>
        <w:rPr>
          <w:rFonts w:ascii="inherit" w:hAnsi="inherit" w:cs="Arial"/>
          <w:color w:val="000000"/>
          <w:spacing w:val="-1"/>
        </w:rPr>
      </w:pPr>
      <w:r>
        <w:rPr>
          <w:rFonts w:ascii="inherit" w:hAnsi="inherit" w:cs="Arial"/>
          <w:i/>
          <w:iCs/>
          <w:noProof/>
          <w:color w:val="000000"/>
          <w:spacing w:val="-1"/>
          <w:bdr w:val="none" w:sz="0" w:space="0" w:color="auto" w:frame="1"/>
        </w:rPr>
        <mc:AlternateContent>
          <mc:Choice Requires="wps">
            <w:drawing>
              <wp:inline distT="0" distB="0" distL="0" distR="0">
                <wp:extent cx="3543300" cy="1781175"/>
                <wp:effectExtent l="0" t="0" r="0" b="0"/>
                <wp:docPr id="2" name="Dikdörtgen 2" descr="https://www.gcmyatirim.com.tr/wp-content/uploads/2025/08/15/hedef-1_175525226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43300" cy="178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89CD9E" id="Dikdörtgen 2" o:spid="_x0000_s1026" alt="https://www.gcmyatirim.com.tr/wp-content/uploads/2025/08/15/hedef-1_1755252261.png" style="width:279pt;height:1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" filled="f" stroked="f">
                <o:lock v:ext="edit" aspectratio="t"/>
                <w10:anchorlock/>
              </v:rect>
            </w:pict>
          </mc:Fallback>
        </mc:AlternateContent>
      </w:r>
    </w:p>
    <w:p w:rsidR="00EB10FB" w:rsidRDefault="00EB10FB" w:rsidP="00EB10FB">
      <w:pPr>
        <w:pStyle w:val="NormalWeb"/>
        <w:spacing w:before="0" w:beforeAutospacing="0" w:after="225" w:afterAutospacing="0" w:line="300" w:lineRule="atLeast"/>
        <w:ind w:left="150" w:right="150"/>
        <w:textAlignment w:val="baseline"/>
        <w:rPr>
          <w:rFonts w:ascii="inherit" w:hAnsi="inherit" w:cs="Arial"/>
          <w:color w:val="000000"/>
          <w:spacing w:val="-1"/>
        </w:rPr>
      </w:pPr>
      <w:r>
        <w:rPr>
          <w:rFonts w:ascii="inherit" w:hAnsi="inherit" w:cs="Arial"/>
          <w:color w:val="000000"/>
          <w:spacing w:val="-1"/>
        </w:rPr>
        <w:lastRenderedPageBreak/>
        <w:t xml:space="preserve">Ek bilgilendirme olarak da AGHOL şirketine yönelik $ </w:t>
      </w:r>
      <w:proofErr w:type="gramStart"/>
      <w:r>
        <w:rPr>
          <w:rFonts w:ascii="inherit" w:hAnsi="inherit" w:cs="Arial"/>
          <w:color w:val="000000"/>
          <w:spacing w:val="-1"/>
        </w:rPr>
        <w:t>bazlı</w:t>
      </w:r>
      <w:proofErr w:type="gramEnd"/>
      <w:r>
        <w:rPr>
          <w:rFonts w:ascii="inherit" w:hAnsi="inherit" w:cs="Arial"/>
          <w:color w:val="000000"/>
          <w:spacing w:val="-1"/>
        </w:rPr>
        <w:t xml:space="preserve"> grafiğine baktığımızda 5 yıllık (60 aylık) ortalama üzerindeki seyri ve ortalamanın bulunduğu bölgenin tarihsel olarak önemli bir yer olması sebebiyle 2025 Ağustos döneminde izlenen negatif fiyatlamaya karşın grafiksel açıdan ilgili bölge üzerindeki seyir sürdüğü müddetçe uzun vadeli olarak yeni yükselişlerin teknik açıdan devam edebileceğini söyleyebiliriz.</w:t>
      </w:r>
    </w:p>
    <w:p w:rsidR="00EB10FB" w:rsidRDefault="00EB10FB" w:rsidP="00EB10FB">
      <w:pPr>
        <w:pStyle w:val="NormalWeb"/>
        <w:spacing w:before="0" w:beforeAutospacing="0" w:after="0" w:afterAutospacing="0" w:line="300" w:lineRule="atLeast"/>
        <w:ind w:left="150" w:right="150"/>
        <w:textAlignment w:val="baseline"/>
        <w:rPr>
          <w:rFonts w:ascii="inherit" w:hAnsi="inherit" w:cs="Arial"/>
          <w:color w:val="000000"/>
          <w:spacing w:val="-1"/>
        </w:rPr>
      </w:pPr>
      <w:r>
        <w:rPr>
          <w:rFonts w:ascii="inherit" w:hAnsi="inherit" w:cs="Arial"/>
          <w:i/>
          <w:iCs/>
          <w:noProof/>
          <w:color w:val="000000"/>
          <w:spacing w:val="-1"/>
          <w:bdr w:val="none" w:sz="0" w:space="0" w:color="auto" w:frame="1"/>
        </w:rPr>
        <w:drawing>
          <wp:inline distT="0" distB="0" distL="0" distR="0">
            <wp:extent cx="11744325" cy="6943725"/>
            <wp:effectExtent l="0" t="0" r="9525" b="9525"/>
            <wp:docPr id="1" name="Resim 1" descr="https://www.gcmyatirim.com.tr/wp-content/uploads/2025/08/15/grafik-1_1755252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gcmyatirim.com.tr/wp-content/uploads/2025/08/15/grafik-1_175525228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44325" cy="6943725"/>
                    </a:xfrm>
                    <a:prstGeom prst="rect">
                      <a:avLst/>
                    </a:prstGeom>
                    <a:noFill/>
                    <a:ln>
                      <a:noFill/>
                    </a:ln>
                  </pic:spPr>
                </pic:pic>
              </a:graphicData>
            </a:graphic>
          </wp:inline>
        </w:drawing>
      </w:r>
    </w:p>
    <w:p w:rsidR="000A6B3A" w:rsidRDefault="000A6B3A" w:rsidP="00EB10FB"/>
    <w:p w:rsidR="00EB10FB" w:rsidRPr="00EB10FB" w:rsidRDefault="00EB10FB" w:rsidP="00EB10FB">
      <w:hyperlink r:id="rId11" w:history="1">
        <w:r>
          <w:rPr>
            <w:rStyle w:val="Kpr"/>
          </w:rPr>
          <w:t>Anadolu Grubu Holding (AGHOL) 2025 2.Çeyrek Bilanço Analizi - 15-08-2025 Tarihli Özel Rapor</w:t>
        </w:r>
      </w:hyperlink>
      <w:bookmarkEnd w:id="0"/>
    </w:p>
    <w:sectPr w:rsidR="00EB10FB" w:rsidRPr="00EB10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458D0"/>
    <w:multiLevelType w:val="multilevel"/>
    <w:tmpl w:val="D15E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FC8"/>
    <w:rsid w:val="000A6B3A"/>
    <w:rsid w:val="00376999"/>
    <w:rsid w:val="00577FC8"/>
    <w:rsid w:val="00EB10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8D417"/>
  <w15:chartTrackingRefBased/>
  <w15:docId w15:val="{AA6A895B-94AA-49DF-AFD6-25F27297B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577F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577FC8"/>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577FC8"/>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77FC8"/>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577FC8"/>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577FC8"/>
    <w:rPr>
      <w:rFonts w:ascii="Times New Roman" w:eastAsia="Times New Roman" w:hAnsi="Times New Roman" w:cs="Times New Roman"/>
      <w:b/>
      <w:bCs/>
      <w:sz w:val="27"/>
      <w:szCs w:val="27"/>
      <w:lang w:eastAsia="tr-TR"/>
    </w:rPr>
  </w:style>
  <w:style w:type="character" w:styleId="Kpr">
    <w:name w:val="Hyperlink"/>
    <w:basedOn w:val="VarsaylanParagrafYazTipi"/>
    <w:uiPriority w:val="99"/>
    <w:semiHidden/>
    <w:unhideWhenUsed/>
    <w:rsid w:val="00577FC8"/>
    <w:rPr>
      <w:color w:val="0000FF"/>
      <w:u w:val="single"/>
    </w:rPr>
  </w:style>
  <w:style w:type="character" w:styleId="Gl">
    <w:name w:val="Strong"/>
    <w:basedOn w:val="VarsaylanParagrafYazTipi"/>
    <w:uiPriority w:val="22"/>
    <w:qFormat/>
    <w:rsid w:val="00577FC8"/>
    <w:rPr>
      <w:b/>
      <w:bCs/>
    </w:rPr>
  </w:style>
  <w:style w:type="paragraph" w:styleId="NormalWeb">
    <w:name w:val="Normal (Web)"/>
    <w:basedOn w:val="Normal"/>
    <w:uiPriority w:val="99"/>
    <w:semiHidden/>
    <w:unhideWhenUsed/>
    <w:rsid w:val="00577FC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577FC8"/>
    <w:rPr>
      <w:i/>
      <w:iCs/>
    </w:rPr>
  </w:style>
  <w:style w:type="paragraph" w:customStyle="1" w:styleId="instrumentnamecontent">
    <w:name w:val="instrumentnamecontent"/>
    <w:basedOn w:val="Normal"/>
    <w:rsid w:val="000A6B3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instrumentsaleprice">
    <w:name w:val="instrumentsaleprice"/>
    <w:basedOn w:val="VarsaylanParagrafYazTipi"/>
    <w:rsid w:val="000A6B3A"/>
  </w:style>
  <w:style w:type="character" w:customStyle="1" w:styleId="dailychangepercentage">
    <w:name w:val="dailychangepercentage"/>
    <w:basedOn w:val="VarsaylanParagrafYazTipi"/>
    <w:rsid w:val="000A6B3A"/>
  </w:style>
  <w:style w:type="character" w:customStyle="1" w:styleId="marketactiontitle">
    <w:name w:val="marketactiontitle"/>
    <w:basedOn w:val="VarsaylanParagrafYazTipi"/>
    <w:rsid w:val="000A6B3A"/>
  </w:style>
  <w:style w:type="character" w:customStyle="1" w:styleId="marketactionprice">
    <w:name w:val="marketactionprice"/>
    <w:basedOn w:val="VarsaylanParagrafYazTipi"/>
    <w:rsid w:val="000A6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0472061">
      <w:bodyDiv w:val="1"/>
      <w:marLeft w:val="0"/>
      <w:marRight w:val="0"/>
      <w:marTop w:val="0"/>
      <w:marBottom w:val="0"/>
      <w:divBdr>
        <w:top w:val="none" w:sz="0" w:space="0" w:color="auto"/>
        <w:left w:val="none" w:sz="0" w:space="0" w:color="auto"/>
        <w:bottom w:val="none" w:sz="0" w:space="0" w:color="auto"/>
        <w:right w:val="none" w:sz="0" w:space="0" w:color="auto"/>
      </w:divBdr>
      <w:divsChild>
        <w:div w:id="1861385433">
          <w:marLeft w:val="0"/>
          <w:marRight w:val="0"/>
          <w:marTop w:val="0"/>
          <w:marBottom w:val="300"/>
          <w:divBdr>
            <w:top w:val="single" w:sz="6" w:space="19" w:color="E4E9F2"/>
            <w:left w:val="none" w:sz="0" w:space="26" w:color="auto"/>
            <w:bottom w:val="single" w:sz="6" w:space="19" w:color="E4E9F2"/>
            <w:right w:val="none" w:sz="0" w:space="26" w:color="auto"/>
          </w:divBdr>
          <w:divsChild>
            <w:div w:id="552548225">
              <w:marLeft w:val="0"/>
              <w:marRight w:val="0"/>
              <w:marTop w:val="0"/>
              <w:marBottom w:val="0"/>
              <w:divBdr>
                <w:top w:val="none" w:sz="0" w:space="0" w:color="auto"/>
                <w:left w:val="none" w:sz="0" w:space="0" w:color="auto"/>
                <w:bottom w:val="none" w:sz="0" w:space="0" w:color="auto"/>
                <w:right w:val="none" w:sz="0" w:space="0" w:color="auto"/>
              </w:divBdr>
              <w:divsChild>
                <w:div w:id="1641615429">
                  <w:marLeft w:val="0"/>
                  <w:marRight w:val="0"/>
                  <w:marTop w:val="0"/>
                  <w:marBottom w:val="0"/>
                  <w:divBdr>
                    <w:top w:val="none" w:sz="0" w:space="0" w:color="auto"/>
                    <w:left w:val="none" w:sz="0" w:space="0" w:color="auto"/>
                    <w:bottom w:val="none" w:sz="0" w:space="0" w:color="auto"/>
                    <w:right w:val="none" w:sz="0" w:space="0" w:color="auto"/>
                  </w:divBdr>
                  <w:divsChild>
                    <w:div w:id="5907716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046874919">
          <w:marLeft w:val="0"/>
          <w:marRight w:val="0"/>
          <w:marTop w:val="0"/>
          <w:marBottom w:val="0"/>
          <w:divBdr>
            <w:top w:val="none" w:sz="0" w:space="0" w:color="auto"/>
            <w:left w:val="none" w:sz="0" w:space="0" w:color="auto"/>
            <w:bottom w:val="none" w:sz="0" w:space="0" w:color="auto"/>
            <w:right w:val="none" w:sz="0" w:space="0" w:color="auto"/>
          </w:divBdr>
          <w:divsChild>
            <w:div w:id="605189560">
              <w:marLeft w:val="0"/>
              <w:marRight w:val="0"/>
              <w:marTop w:val="0"/>
              <w:marBottom w:val="0"/>
              <w:divBdr>
                <w:top w:val="none" w:sz="0" w:space="0" w:color="auto"/>
                <w:left w:val="none" w:sz="0" w:space="0" w:color="auto"/>
                <w:bottom w:val="none" w:sz="0" w:space="0" w:color="auto"/>
                <w:right w:val="none" w:sz="0" w:space="0" w:color="auto"/>
              </w:divBdr>
              <w:divsChild>
                <w:div w:id="77309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443940">
      <w:bodyDiv w:val="1"/>
      <w:marLeft w:val="0"/>
      <w:marRight w:val="0"/>
      <w:marTop w:val="0"/>
      <w:marBottom w:val="0"/>
      <w:divBdr>
        <w:top w:val="none" w:sz="0" w:space="0" w:color="auto"/>
        <w:left w:val="none" w:sz="0" w:space="0" w:color="auto"/>
        <w:bottom w:val="none" w:sz="0" w:space="0" w:color="auto"/>
        <w:right w:val="none" w:sz="0" w:space="0" w:color="auto"/>
      </w:divBdr>
      <w:divsChild>
        <w:div w:id="1320839864">
          <w:marLeft w:val="0"/>
          <w:marRight w:val="0"/>
          <w:marTop w:val="0"/>
          <w:marBottom w:val="300"/>
          <w:divBdr>
            <w:top w:val="single" w:sz="6" w:space="19" w:color="E4E9F2"/>
            <w:left w:val="none" w:sz="0" w:space="26" w:color="auto"/>
            <w:bottom w:val="single" w:sz="6" w:space="19" w:color="E4E9F2"/>
            <w:right w:val="none" w:sz="0" w:space="26" w:color="auto"/>
          </w:divBdr>
          <w:divsChild>
            <w:div w:id="158155562">
              <w:marLeft w:val="0"/>
              <w:marRight w:val="0"/>
              <w:marTop w:val="0"/>
              <w:marBottom w:val="0"/>
              <w:divBdr>
                <w:top w:val="none" w:sz="0" w:space="0" w:color="auto"/>
                <w:left w:val="none" w:sz="0" w:space="0" w:color="auto"/>
                <w:bottom w:val="none" w:sz="0" w:space="0" w:color="auto"/>
                <w:right w:val="none" w:sz="0" w:space="0" w:color="auto"/>
              </w:divBdr>
              <w:divsChild>
                <w:div w:id="881328465">
                  <w:marLeft w:val="0"/>
                  <w:marRight w:val="0"/>
                  <w:marTop w:val="0"/>
                  <w:marBottom w:val="0"/>
                  <w:divBdr>
                    <w:top w:val="none" w:sz="0" w:space="0" w:color="auto"/>
                    <w:left w:val="none" w:sz="0" w:space="0" w:color="auto"/>
                    <w:bottom w:val="none" w:sz="0" w:space="0" w:color="auto"/>
                    <w:right w:val="none" w:sz="0" w:space="0" w:color="auto"/>
                  </w:divBdr>
                  <w:divsChild>
                    <w:div w:id="34544288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21188728">
          <w:marLeft w:val="0"/>
          <w:marRight w:val="0"/>
          <w:marTop w:val="0"/>
          <w:marBottom w:val="0"/>
          <w:divBdr>
            <w:top w:val="none" w:sz="0" w:space="0" w:color="auto"/>
            <w:left w:val="none" w:sz="0" w:space="0" w:color="auto"/>
            <w:bottom w:val="none" w:sz="0" w:space="0" w:color="auto"/>
            <w:right w:val="none" w:sz="0" w:space="0" w:color="auto"/>
          </w:divBdr>
          <w:divsChild>
            <w:div w:id="914819205">
              <w:marLeft w:val="0"/>
              <w:marRight w:val="0"/>
              <w:marTop w:val="0"/>
              <w:marBottom w:val="0"/>
              <w:divBdr>
                <w:top w:val="none" w:sz="0" w:space="0" w:color="auto"/>
                <w:left w:val="none" w:sz="0" w:space="0" w:color="auto"/>
                <w:bottom w:val="none" w:sz="0" w:space="0" w:color="auto"/>
                <w:right w:val="none" w:sz="0" w:space="0" w:color="auto"/>
              </w:divBdr>
              <w:divsChild>
                <w:div w:id="74753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518502">
      <w:bodyDiv w:val="1"/>
      <w:marLeft w:val="0"/>
      <w:marRight w:val="0"/>
      <w:marTop w:val="0"/>
      <w:marBottom w:val="0"/>
      <w:divBdr>
        <w:top w:val="none" w:sz="0" w:space="0" w:color="auto"/>
        <w:left w:val="none" w:sz="0" w:space="0" w:color="auto"/>
        <w:bottom w:val="none" w:sz="0" w:space="0" w:color="auto"/>
        <w:right w:val="none" w:sz="0" w:space="0" w:color="auto"/>
      </w:divBdr>
      <w:divsChild>
        <w:div w:id="684792563">
          <w:marLeft w:val="0"/>
          <w:marRight w:val="0"/>
          <w:marTop w:val="0"/>
          <w:marBottom w:val="300"/>
          <w:divBdr>
            <w:top w:val="single" w:sz="6" w:space="19" w:color="E4E9F2"/>
            <w:left w:val="none" w:sz="0" w:space="26" w:color="auto"/>
            <w:bottom w:val="single" w:sz="6" w:space="19" w:color="E4E9F2"/>
            <w:right w:val="none" w:sz="0" w:space="26" w:color="auto"/>
          </w:divBdr>
          <w:divsChild>
            <w:div w:id="1355499629">
              <w:marLeft w:val="0"/>
              <w:marRight w:val="0"/>
              <w:marTop w:val="0"/>
              <w:marBottom w:val="0"/>
              <w:divBdr>
                <w:top w:val="none" w:sz="0" w:space="0" w:color="auto"/>
                <w:left w:val="none" w:sz="0" w:space="0" w:color="auto"/>
                <w:bottom w:val="none" w:sz="0" w:space="0" w:color="auto"/>
                <w:right w:val="none" w:sz="0" w:space="0" w:color="auto"/>
              </w:divBdr>
              <w:divsChild>
                <w:div w:id="1851872437">
                  <w:marLeft w:val="0"/>
                  <w:marRight w:val="0"/>
                  <w:marTop w:val="0"/>
                  <w:marBottom w:val="0"/>
                  <w:divBdr>
                    <w:top w:val="none" w:sz="0" w:space="0" w:color="auto"/>
                    <w:left w:val="none" w:sz="0" w:space="0" w:color="auto"/>
                    <w:bottom w:val="none" w:sz="0" w:space="0" w:color="auto"/>
                    <w:right w:val="none" w:sz="0" w:space="0" w:color="auto"/>
                  </w:divBdr>
                  <w:divsChild>
                    <w:div w:id="17555843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768820823">
          <w:marLeft w:val="0"/>
          <w:marRight w:val="0"/>
          <w:marTop w:val="0"/>
          <w:marBottom w:val="0"/>
          <w:divBdr>
            <w:top w:val="none" w:sz="0" w:space="0" w:color="auto"/>
            <w:left w:val="none" w:sz="0" w:space="0" w:color="auto"/>
            <w:bottom w:val="none" w:sz="0" w:space="0" w:color="auto"/>
            <w:right w:val="none" w:sz="0" w:space="0" w:color="auto"/>
          </w:divBdr>
          <w:divsChild>
            <w:div w:id="733091105">
              <w:marLeft w:val="0"/>
              <w:marRight w:val="0"/>
              <w:marTop w:val="0"/>
              <w:marBottom w:val="0"/>
              <w:divBdr>
                <w:top w:val="none" w:sz="0" w:space="0" w:color="auto"/>
                <w:left w:val="none" w:sz="0" w:space="0" w:color="auto"/>
                <w:bottom w:val="none" w:sz="0" w:space="0" w:color="auto"/>
                <w:right w:val="none" w:sz="0" w:space="0" w:color="auto"/>
              </w:divBdr>
              <w:divsChild>
                <w:div w:id="200824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262">
          <w:marLeft w:val="0"/>
          <w:marRight w:val="0"/>
          <w:marTop w:val="0"/>
          <w:marBottom w:val="0"/>
          <w:divBdr>
            <w:top w:val="none" w:sz="0" w:space="0" w:color="auto"/>
            <w:left w:val="none" w:sz="0" w:space="0" w:color="auto"/>
            <w:bottom w:val="none" w:sz="0" w:space="0" w:color="auto"/>
            <w:right w:val="none" w:sz="0" w:space="0" w:color="auto"/>
          </w:divBdr>
          <w:divsChild>
            <w:div w:id="1153178484">
              <w:marLeft w:val="0"/>
              <w:marRight w:val="0"/>
              <w:marTop w:val="0"/>
              <w:marBottom w:val="0"/>
              <w:divBdr>
                <w:top w:val="none" w:sz="0" w:space="0" w:color="auto"/>
                <w:left w:val="none" w:sz="0" w:space="0" w:color="auto"/>
                <w:bottom w:val="none" w:sz="0" w:space="0" w:color="auto"/>
                <w:right w:val="none" w:sz="0" w:space="0" w:color="auto"/>
              </w:divBdr>
              <w:divsChild>
                <w:div w:id="212890064">
                  <w:marLeft w:val="0"/>
                  <w:marRight w:val="0"/>
                  <w:marTop w:val="0"/>
                  <w:marBottom w:val="0"/>
                  <w:divBdr>
                    <w:top w:val="single" w:sz="6" w:space="15" w:color="E4E9F2"/>
                    <w:left w:val="none" w:sz="0" w:space="15" w:color="auto"/>
                    <w:bottom w:val="none" w:sz="0" w:space="15" w:color="auto"/>
                    <w:right w:val="none" w:sz="0" w:space="15" w:color="auto"/>
                  </w:divBdr>
                </w:div>
                <w:div w:id="1506096270">
                  <w:marLeft w:val="0"/>
                  <w:marRight w:val="0"/>
                  <w:marTop w:val="0"/>
                  <w:marBottom w:val="0"/>
                  <w:divBdr>
                    <w:top w:val="single" w:sz="6" w:space="0" w:color="E4E9F2"/>
                    <w:left w:val="none" w:sz="0" w:space="0" w:color="auto"/>
                    <w:bottom w:val="none" w:sz="0" w:space="0" w:color="auto"/>
                    <w:right w:val="none" w:sz="0" w:space="0" w:color="auto"/>
                  </w:divBdr>
                  <w:divsChild>
                    <w:div w:id="1148471387">
                      <w:marLeft w:val="0"/>
                      <w:marRight w:val="0"/>
                      <w:marTop w:val="450"/>
                      <w:marBottom w:val="450"/>
                      <w:divBdr>
                        <w:top w:val="none" w:sz="0" w:space="0" w:color="auto"/>
                        <w:left w:val="none" w:sz="0" w:space="0" w:color="auto"/>
                        <w:bottom w:val="none" w:sz="0" w:space="0" w:color="auto"/>
                        <w:right w:val="none" w:sz="0" w:space="0" w:color="auto"/>
                      </w:divBdr>
                      <w:divsChild>
                        <w:div w:id="87018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cmyatirim.com.tr/borsa/hisse/aghol-hisse-ag-anadolu-grubu-holding-a-s" TargetMode="External"/><Relationship Id="rId11" Type="http://schemas.openxmlformats.org/officeDocument/2006/relationships/hyperlink" Target="https://www.gcmyatirim.com.tr/arastirma-analiz/ozel-raporlar/2025-08-15-anadolu-grubu-holding-aghol-2025-2-ceyrek-bilanco-analizi" TargetMode="External"/><Relationship Id="rId5" Type="http://schemas.openxmlformats.org/officeDocument/2006/relationships/hyperlink" Target="https://www.gcmyatirim.com.tr/yazarlar/gcm-yatirim"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970</Words>
  <Characters>5534</Characters>
  <Application>Microsoft Office Word</Application>
  <DocSecurity>0</DocSecurity>
  <Lines>46</Lines>
  <Paragraphs>12</Paragraphs>
  <ScaleCrop>false</ScaleCrop>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2025-08-13T08:45:00Z</dcterms:created>
  <dcterms:modified xsi:type="dcterms:W3CDTF">2025-08-15T10:22:00Z</dcterms:modified>
</cp:coreProperties>
</file>