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08" w:rsidRDefault="009A3908" w:rsidP="009A3908">
      <w:bookmarkStart w:id="0" w:name="_GoBack"/>
      <w:bookmarkEnd w:id="0"/>
    </w:p>
    <w:p w:rsidR="009A3908" w:rsidRDefault="009A3908" w:rsidP="009A3908">
      <w:pPr>
        <w:rPr>
          <w:b/>
          <w:bCs/>
          <w:caps/>
          <w:color w:val="7F7F7F"/>
          <w:sz w:val="24"/>
          <w:szCs w:val="24"/>
          <w:lang w:val="en-US" w:eastAsia="tr-TR"/>
        </w:rPr>
      </w:pPr>
      <w:r>
        <w:rPr>
          <w:b/>
          <w:bCs/>
          <w:caps/>
          <w:color w:val="003366"/>
          <w:sz w:val="24"/>
          <w:szCs w:val="24"/>
          <w:lang w:val="en-US" w:eastAsia="tr-TR"/>
        </w:rPr>
        <w:t>DENIZ YATIRIM STRATEJİ &amp; ARAŞTIRMA</w:t>
      </w:r>
      <w:r>
        <w:rPr>
          <w:b/>
          <w:bCs/>
          <w:caps/>
          <w:color w:val="7F7F7F"/>
          <w:sz w:val="24"/>
          <w:szCs w:val="24"/>
          <w:lang w:val="en-US" w:eastAsia="tr-TR"/>
        </w:rPr>
        <w:t xml:space="preserve"> </w:t>
      </w:r>
    </w:p>
    <w:p w:rsidR="009A3908" w:rsidRDefault="009A3908" w:rsidP="009A3908">
      <w:pPr>
        <w:jc w:val="center"/>
        <w:rPr>
          <w:rFonts w:ascii="FreeSetC" w:eastAsia="Times New Roman" w:hAnsi="FreeSetC"/>
          <w:b/>
          <w:bCs/>
          <w:color w:val="000067"/>
          <w:sz w:val="44"/>
          <w:szCs w:val="44"/>
          <w:lang w:eastAsia="tr-TR"/>
        </w:rPr>
      </w:pPr>
      <w:r>
        <w:rPr>
          <w:rFonts w:ascii="FreeSetC" w:eastAsia="Times New Roman" w:hAnsi="FreeSetC"/>
          <w:b/>
          <w:bCs/>
          <w:color w:val="000067"/>
          <w:sz w:val="44"/>
          <w:szCs w:val="44"/>
          <w:lang w:eastAsia="tr-TR"/>
        </w:rPr>
        <w:pict>
          <v:rect id="_x0000_i1025" style="width:453.6pt;height:.75pt" o:hralign="center" o:hrstd="t" o:hrnoshade="t" o:hr="t" fillcolor="#036" stroked="f"/>
        </w:pict>
      </w:r>
    </w:p>
    <w:p w:rsidR="009A3908" w:rsidRDefault="009A3908" w:rsidP="009A3908">
      <w:pPr>
        <w:spacing w:after="120"/>
        <w:rPr>
          <w:b/>
          <w:bCs/>
          <w:color w:val="003366"/>
          <w:sz w:val="44"/>
          <w:szCs w:val="44"/>
          <w:lang w:val="en-US" w:eastAsia="tr-TR"/>
        </w:rPr>
      </w:pPr>
      <w:proofErr w:type="spellStart"/>
      <w:r>
        <w:rPr>
          <w:b/>
          <w:bCs/>
          <w:color w:val="003366"/>
          <w:sz w:val="44"/>
          <w:szCs w:val="44"/>
          <w:lang w:val="en-US" w:eastAsia="tr-TR"/>
        </w:rPr>
        <w:t>Europap</w:t>
      </w:r>
      <w:proofErr w:type="spellEnd"/>
      <w:r>
        <w:rPr>
          <w:b/>
          <w:bCs/>
          <w:color w:val="003366"/>
          <w:sz w:val="44"/>
          <w:szCs w:val="44"/>
          <w:lang w:val="en-US" w:eastAsia="tr-TR"/>
        </w:rPr>
        <w:t xml:space="preserve"> </w:t>
      </w:r>
      <w:proofErr w:type="spellStart"/>
      <w:r>
        <w:rPr>
          <w:b/>
          <w:bCs/>
          <w:color w:val="003366"/>
          <w:sz w:val="44"/>
          <w:szCs w:val="44"/>
          <w:lang w:val="en-US" w:eastAsia="tr-TR"/>
        </w:rPr>
        <w:t>Tezol</w:t>
      </w:r>
      <w:proofErr w:type="spellEnd"/>
      <w:r>
        <w:rPr>
          <w:b/>
          <w:bCs/>
          <w:color w:val="003366"/>
          <w:sz w:val="44"/>
          <w:szCs w:val="44"/>
          <w:lang w:val="en-US" w:eastAsia="tr-TR"/>
        </w:rPr>
        <w:t xml:space="preserve"> (TEZOL TI)</w:t>
      </w:r>
    </w:p>
    <w:p w:rsidR="009A3908" w:rsidRDefault="009A3908" w:rsidP="009A3908">
      <w:pPr>
        <w:spacing w:after="120"/>
        <w:rPr>
          <w:b/>
          <w:bCs/>
          <w:color w:val="003366"/>
          <w:sz w:val="32"/>
          <w:szCs w:val="32"/>
          <w:lang w:val="en-US" w:eastAsia="tr-TR"/>
        </w:rPr>
      </w:pPr>
      <w:proofErr w:type="spellStart"/>
      <w:r>
        <w:rPr>
          <w:b/>
          <w:bCs/>
          <w:color w:val="003366"/>
          <w:sz w:val="32"/>
          <w:szCs w:val="32"/>
          <w:lang w:val="en-US" w:eastAsia="tr-TR"/>
        </w:rPr>
        <w:t>Bilanço</w:t>
      </w:r>
      <w:proofErr w:type="spellEnd"/>
      <w:r>
        <w:rPr>
          <w:b/>
          <w:bCs/>
          <w:color w:val="003366"/>
          <w:sz w:val="32"/>
          <w:szCs w:val="32"/>
          <w:lang w:val="en-US" w:eastAsia="tr-TR"/>
        </w:rPr>
        <w:t xml:space="preserve"> </w:t>
      </w:r>
      <w:proofErr w:type="spellStart"/>
      <w:r>
        <w:rPr>
          <w:b/>
          <w:bCs/>
          <w:color w:val="003366"/>
          <w:sz w:val="32"/>
          <w:szCs w:val="32"/>
          <w:lang w:val="en-US" w:eastAsia="tr-TR"/>
        </w:rPr>
        <w:t>değerlendirmesi</w:t>
      </w:r>
      <w:proofErr w:type="spellEnd"/>
      <w:r>
        <w:rPr>
          <w:b/>
          <w:bCs/>
          <w:color w:val="003366"/>
          <w:sz w:val="32"/>
          <w:szCs w:val="32"/>
          <w:lang w:val="en-US" w:eastAsia="tr-TR"/>
        </w:rPr>
        <w:t xml:space="preserve"> / </w:t>
      </w:r>
      <w:proofErr w:type="spellStart"/>
      <w:r>
        <w:rPr>
          <w:b/>
          <w:bCs/>
          <w:color w:val="003366"/>
          <w:sz w:val="32"/>
          <w:szCs w:val="32"/>
          <w:lang w:val="en-US" w:eastAsia="tr-TR"/>
        </w:rPr>
        <w:t>nötr</w:t>
      </w:r>
      <w:proofErr w:type="spellEnd"/>
    </w:p>
    <w:p w:rsidR="009A3908" w:rsidRDefault="009A3908" w:rsidP="009A3908">
      <w:pPr>
        <w:spacing w:line="280" w:lineRule="exact"/>
        <w:jc w:val="center"/>
        <w:rPr>
          <w:rFonts w:ascii="FreeSetC" w:eastAsia="Times New Roman" w:hAnsi="FreeSetC"/>
          <w:sz w:val="19"/>
          <w:szCs w:val="19"/>
          <w:lang w:eastAsia="tr-TR"/>
        </w:rPr>
      </w:pPr>
      <w:r>
        <w:rPr>
          <w:rFonts w:ascii="FreeSetC" w:eastAsia="Times New Roman" w:hAnsi="FreeSetC"/>
          <w:sz w:val="19"/>
          <w:szCs w:val="19"/>
          <w:lang w:eastAsia="tr-TR"/>
        </w:rPr>
        <w:pict>
          <v:rect id="_x0000_i1026" style="width:453.6pt;height:.75pt" o:hralign="center" o:hrstd="t" o:hrnoshade="t" o:hr="t" fillcolor="#036" stroked="f"/>
        </w:pict>
      </w:r>
    </w:p>
    <w:p w:rsidR="009A3908" w:rsidRDefault="009A3908" w:rsidP="009A3908">
      <w:pPr>
        <w:pStyle w:val="FPIntroduction"/>
        <w:spacing w:before="60"/>
        <w:rPr>
          <w:sz w:val="22"/>
          <w:szCs w:val="22"/>
        </w:rPr>
      </w:pPr>
      <w:proofErr w:type="spellStart"/>
      <w:r>
        <w:rPr>
          <w:sz w:val="22"/>
          <w:szCs w:val="22"/>
        </w:rPr>
        <w:t>Europap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Tezol</w:t>
      </w:r>
      <w:proofErr w:type="spellEnd"/>
      <w:r>
        <w:rPr>
          <w:sz w:val="22"/>
          <w:szCs w:val="22"/>
        </w:rPr>
        <w:t>, 2Ç25'te 1.337 milyon TL gelir, 134 milyon TL FAVÖK ve 183 milyon TL net kar açıkladı. Enflasyon muhasebesi nedeniyle parasal kazanç/kayıp kalemi altında 26 milyon TL’lik olumsuz etki oluştu.</w:t>
      </w:r>
    </w:p>
    <w:p w:rsidR="009A3908" w:rsidRDefault="009A3908" w:rsidP="009A3908">
      <w:pPr>
        <w:pStyle w:val="FPIntroduction"/>
        <w:spacing w:before="60"/>
        <w:rPr>
          <w:sz w:val="22"/>
          <w:szCs w:val="22"/>
        </w:rPr>
      </w:pPr>
    </w:p>
    <w:p w:rsidR="009A3908" w:rsidRDefault="009A3908" w:rsidP="009A3908">
      <w:pPr>
        <w:pStyle w:val="ListBullet"/>
        <w:rPr>
          <w:sz w:val="22"/>
          <w:szCs w:val="22"/>
        </w:rPr>
      </w:pPr>
      <w:bookmarkStart w:id="1" w:name="_Hlk164954405"/>
      <w:r>
        <w:rPr>
          <w:b/>
          <w:bCs/>
          <w:sz w:val="22"/>
          <w:szCs w:val="22"/>
        </w:rPr>
        <w:t xml:space="preserve">Bilançoda olumlu okuduğumuz detaylar </w:t>
      </w:r>
    </w:p>
    <w:p w:rsidR="009A3908" w:rsidRDefault="009A3908" w:rsidP="009A3908">
      <w:pPr>
        <w:pStyle w:val="ListBullet"/>
        <w:numPr>
          <w:ilvl w:val="0"/>
          <w:numId w:val="3"/>
        </w:numPr>
        <w:rPr>
          <w:i/>
          <w:iCs/>
          <w:sz w:val="22"/>
          <w:szCs w:val="22"/>
        </w:rPr>
      </w:pPr>
      <w:bookmarkStart w:id="2" w:name="_Hlk180737338"/>
      <w:r>
        <w:rPr>
          <w:i/>
          <w:iCs/>
          <w:sz w:val="22"/>
          <w:szCs w:val="22"/>
        </w:rPr>
        <w:t> Güçlü net kar, artan net nakit pozisyonu</w:t>
      </w:r>
    </w:p>
    <w:bookmarkEnd w:id="2"/>
    <w:p w:rsidR="009A3908" w:rsidRDefault="009A3908" w:rsidP="009A3908">
      <w:pPr>
        <w:pStyle w:val="ListBulle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Bilançoda olumsuz okuduğumuz detaylar </w:t>
      </w:r>
    </w:p>
    <w:p w:rsidR="009A3908" w:rsidRDefault="009A3908" w:rsidP="009A3908">
      <w:pPr>
        <w:pStyle w:val="ListBullet"/>
        <w:numPr>
          <w:ilvl w:val="0"/>
          <w:numId w:val="4"/>
        </w:numPr>
        <w:rPr>
          <w:i/>
          <w:iCs/>
          <w:sz w:val="22"/>
          <w:szCs w:val="22"/>
        </w:rPr>
      </w:pPr>
      <w:bookmarkStart w:id="3" w:name="_Hlk179962136"/>
      <w:r>
        <w:rPr>
          <w:i/>
          <w:iCs/>
          <w:sz w:val="22"/>
          <w:szCs w:val="22"/>
        </w:rPr>
        <w:t>FAVÖK tarafında görülen zayıf performans</w:t>
      </w:r>
    </w:p>
    <w:bookmarkEnd w:id="3"/>
    <w:p w:rsidR="009A3908" w:rsidRDefault="009A3908" w:rsidP="009A3908">
      <w:pPr>
        <w:pStyle w:val="ListBullet"/>
        <w:rPr>
          <w:sz w:val="22"/>
          <w:szCs w:val="22"/>
        </w:rPr>
      </w:pPr>
      <w:r>
        <w:rPr>
          <w:b/>
          <w:bCs/>
          <w:sz w:val="22"/>
          <w:szCs w:val="22"/>
        </w:rPr>
        <w:t>Bilançoya dair kısa değerlendirmemiz</w:t>
      </w:r>
    </w:p>
    <w:p w:rsidR="009A3908" w:rsidRDefault="009A3908" w:rsidP="009A3908">
      <w:pPr>
        <w:pStyle w:val="FPIntroduction"/>
        <w:spacing w:before="60"/>
        <w:rPr>
          <w:sz w:val="22"/>
          <w:szCs w:val="22"/>
        </w:rPr>
      </w:pPr>
      <w:bookmarkStart w:id="4" w:name="_Hlk181688326"/>
      <w:r>
        <w:rPr>
          <w:sz w:val="22"/>
          <w:szCs w:val="22"/>
        </w:rPr>
        <w:t>2Ç25 finansalların</w:t>
      </w:r>
      <w:bookmarkEnd w:id="1"/>
      <w:r>
        <w:rPr>
          <w:sz w:val="22"/>
          <w:szCs w:val="22"/>
        </w:rPr>
        <w:t xml:space="preserve">ı, </w:t>
      </w:r>
      <w:bookmarkEnd w:id="4"/>
      <w:r>
        <w:rPr>
          <w:sz w:val="22"/>
          <w:szCs w:val="22"/>
        </w:rPr>
        <w:t xml:space="preserve">güçlü net kar ve artan net nakit pozisyonuna rağmen FAVÖK tarafının zayıf performans göstermesi sebebiyle </w:t>
      </w:r>
      <w:proofErr w:type="gramStart"/>
      <w:r>
        <w:rPr>
          <w:sz w:val="22"/>
          <w:szCs w:val="22"/>
        </w:rPr>
        <w:t>nötr</w:t>
      </w:r>
      <w:proofErr w:type="gramEnd"/>
      <w:r>
        <w:rPr>
          <w:sz w:val="22"/>
          <w:szCs w:val="22"/>
        </w:rPr>
        <w:t xml:space="preserve"> olarak değerlendiriyoruz. Hisse üzerinde net kar etkisinin daha baskın olabileceğini düşünüyoruz.</w:t>
      </w:r>
    </w:p>
    <w:p w:rsidR="009A3908" w:rsidRDefault="009A3908" w:rsidP="009A3908">
      <w:pPr>
        <w:pStyle w:val="FPIntroduction"/>
        <w:spacing w:before="60"/>
        <w:rPr>
          <w:sz w:val="22"/>
          <w:szCs w:val="22"/>
        </w:rPr>
      </w:pPr>
    </w:p>
    <w:p w:rsidR="009A3908" w:rsidRDefault="009A3908" w:rsidP="009A3908">
      <w:pPr>
        <w:pStyle w:val="FPIntroduction"/>
        <w:spacing w:before="60"/>
        <w:rPr>
          <w:sz w:val="22"/>
          <w:szCs w:val="22"/>
        </w:rPr>
      </w:pPr>
      <w:proofErr w:type="spellStart"/>
      <w:r>
        <w:rPr>
          <w:sz w:val="22"/>
          <w:szCs w:val="22"/>
        </w:rPr>
        <w:t>Yataş’ın</w:t>
      </w:r>
      <w:proofErr w:type="spellEnd"/>
      <w:r>
        <w:rPr>
          <w:sz w:val="22"/>
          <w:szCs w:val="22"/>
        </w:rPr>
        <w:t>, 1Ç25 dönemine ait kısa finansal sonuçlarının değerlendirmesini aşağıda bulabilirsiniz.</w:t>
      </w:r>
    </w:p>
    <w:p w:rsidR="009A3908" w:rsidRDefault="009A3908" w:rsidP="009A3908">
      <w:pPr>
        <w:pStyle w:val="FPIntroduction"/>
        <w:spacing w:before="60"/>
        <w:rPr>
          <w:sz w:val="22"/>
          <w:szCs w:val="22"/>
        </w:rPr>
      </w:pPr>
    </w:p>
    <w:p w:rsidR="009A3908" w:rsidRDefault="009A3908" w:rsidP="009A3908">
      <w:pPr>
        <w:numPr>
          <w:ilvl w:val="0"/>
          <w:numId w:val="5"/>
        </w:numPr>
        <w:spacing w:line="360" w:lineRule="auto"/>
        <w:rPr>
          <w:rFonts w:eastAsia="Times New Roman"/>
          <w:lang w:eastAsia="tr-TR"/>
        </w:rPr>
      </w:pPr>
      <w:proofErr w:type="spellStart"/>
      <w:r>
        <w:rPr>
          <w:rFonts w:eastAsia="Times New Roman"/>
          <w:lang w:eastAsia="tr-TR"/>
        </w:rPr>
        <w:t>Europap</w:t>
      </w:r>
      <w:proofErr w:type="spellEnd"/>
      <w:r>
        <w:rPr>
          <w:rFonts w:eastAsia="Times New Roman"/>
          <w:lang w:eastAsia="tr-TR"/>
        </w:rPr>
        <w:t xml:space="preserve"> </w:t>
      </w:r>
      <w:proofErr w:type="spellStart"/>
      <w:r>
        <w:rPr>
          <w:rFonts w:eastAsia="Times New Roman"/>
          <w:lang w:eastAsia="tr-TR"/>
        </w:rPr>
        <w:t>Tezol</w:t>
      </w:r>
      <w:proofErr w:type="spellEnd"/>
      <w:r>
        <w:rPr>
          <w:rFonts w:eastAsia="Times New Roman"/>
          <w:lang w:eastAsia="tr-TR"/>
        </w:rPr>
        <w:t xml:space="preserve">, 2Ç25'te yıllık </w:t>
      </w:r>
      <w:proofErr w:type="gramStart"/>
      <w:r>
        <w:rPr>
          <w:rFonts w:eastAsia="Times New Roman"/>
          <w:lang w:eastAsia="tr-TR"/>
        </w:rPr>
        <w:t>bazda</w:t>
      </w:r>
      <w:proofErr w:type="gramEnd"/>
      <w:r>
        <w:rPr>
          <w:rFonts w:eastAsia="Times New Roman"/>
          <w:lang w:eastAsia="tr-TR"/>
        </w:rPr>
        <w:t xml:space="preserve"> %2 azalışla 1.337 milyon TL satış geliri kaydetti.</w:t>
      </w:r>
    </w:p>
    <w:p w:rsidR="009A3908" w:rsidRDefault="009A3908" w:rsidP="009A3908">
      <w:pPr>
        <w:numPr>
          <w:ilvl w:val="0"/>
          <w:numId w:val="5"/>
        </w:numPr>
        <w:spacing w:line="36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 xml:space="preserve">Şirket'in brüt karı bu dönemde 191 milyon TL seviyesinde gerçekleşirken, geçen yılın aynı dönemine göre %18 azalış gösterdi. Brüt kar </w:t>
      </w:r>
      <w:proofErr w:type="gramStart"/>
      <w:r>
        <w:rPr>
          <w:rFonts w:eastAsia="Times New Roman"/>
          <w:lang w:eastAsia="tr-TR"/>
        </w:rPr>
        <w:t>marjı</w:t>
      </w:r>
      <w:proofErr w:type="gramEnd"/>
      <w:r>
        <w:rPr>
          <w:rFonts w:eastAsia="Times New Roman"/>
          <w:lang w:eastAsia="tr-TR"/>
        </w:rPr>
        <w:t xml:space="preserve"> ise 2,9 puan azalışla %14,3 oldu. </w:t>
      </w:r>
    </w:p>
    <w:p w:rsidR="009A3908" w:rsidRDefault="009A3908" w:rsidP="009A3908">
      <w:pPr>
        <w:numPr>
          <w:ilvl w:val="0"/>
          <w:numId w:val="5"/>
        </w:numPr>
        <w:spacing w:line="36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 xml:space="preserve">FAVÖK 2Ç25'te yıllık %27 azalışla 134 milyon TL seviyesinde gerçekleşirken, FAVÖK </w:t>
      </w:r>
      <w:proofErr w:type="gramStart"/>
      <w:r>
        <w:rPr>
          <w:rFonts w:eastAsia="Times New Roman"/>
          <w:lang w:eastAsia="tr-TR"/>
        </w:rPr>
        <w:t>marjı</w:t>
      </w:r>
      <w:proofErr w:type="gramEnd"/>
      <w:r>
        <w:rPr>
          <w:rFonts w:eastAsia="Times New Roman"/>
          <w:lang w:eastAsia="tr-TR"/>
        </w:rPr>
        <w:t xml:space="preserve"> 3,5 puan azalışla %10,1 oldu.</w:t>
      </w:r>
    </w:p>
    <w:p w:rsidR="009A3908" w:rsidRDefault="009A3908" w:rsidP="009A3908">
      <w:pPr>
        <w:numPr>
          <w:ilvl w:val="0"/>
          <w:numId w:val="5"/>
        </w:numPr>
        <w:spacing w:line="36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 xml:space="preserve">Şirket, 2Ç25 döneminde yıllık </w:t>
      </w:r>
      <w:proofErr w:type="gramStart"/>
      <w:r>
        <w:rPr>
          <w:rFonts w:eastAsia="Times New Roman"/>
          <w:lang w:eastAsia="tr-TR"/>
        </w:rPr>
        <w:t>bazda</w:t>
      </w:r>
      <w:proofErr w:type="gramEnd"/>
      <w:r>
        <w:rPr>
          <w:rFonts w:eastAsia="Times New Roman"/>
          <w:lang w:eastAsia="tr-TR"/>
        </w:rPr>
        <w:t xml:space="preserve"> %89 artışla 183 milyon TL net kar açıkladı (1Ç25: 68 milyon TL net zarar, 2Ç24: 97 milyon TL net kar).</w:t>
      </w:r>
    </w:p>
    <w:p w:rsidR="009A3908" w:rsidRDefault="009A3908" w:rsidP="009A3908">
      <w:pPr>
        <w:numPr>
          <w:ilvl w:val="0"/>
          <w:numId w:val="5"/>
        </w:numPr>
        <w:spacing w:line="36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t xml:space="preserve">Haziran 2025 sonu itibariyle Şirket’in 635 milyon TL net nakit pozisyonu bulunmaktadır (Mart 2025: 255 milyon TL net nakit pozisyonu). Aynı dönemde net nakit/FAVÖK </w:t>
      </w:r>
      <w:proofErr w:type="spellStart"/>
      <w:r>
        <w:rPr>
          <w:rFonts w:eastAsia="Times New Roman"/>
          <w:lang w:eastAsia="tr-TR"/>
        </w:rPr>
        <w:t>rasyosu</w:t>
      </w:r>
      <w:proofErr w:type="spellEnd"/>
      <w:r>
        <w:rPr>
          <w:rFonts w:eastAsia="Times New Roman"/>
          <w:lang w:eastAsia="tr-TR"/>
        </w:rPr>
        <w:t xml:space="preserve"> ise 1,2x oldu (Mart 2025: 0,5x net nakit/FAVÖK).</w:t>
      </w:r>
    </w:p>
    <w:p w:rsidR="009A3908" w:rsidRDefault="009A3908" w:rsidP="009A3908">
      <w:pPr>
        <w:rPr>
          <w:color w:val="000000"/>
          <w:lang w:eastAsia="tr-TR"/>
        </w:rPr>
      </w:pPr>
    </w:p>
    <w:p w:rsidR="009A3908" w:rsidRDefault="009A3908" w:rsidP="009A3908">
      <w:pPr>
        <w:spacing w:line="360" w:lineRule="auto"/>
        <w:rPr>
          <w:b/>
          <w:bCs/>
          <w:lang w:eastAsia="tr-TR"/>
        </w:rPr>
      </w:pPr>
      <w:r>
        <w:rPr>
          <w:lang w:eastAsia="tr-TR"/>
        </w:rPr>
        <w:t>Mevcut durumda,</w:t>
      </w:r>
      <w:r>
        <w:rPr>
          <w:b/>
          <w:bCs/>
          <w:lang w:eastAsia="tr-TR"/>
        </w:rPr>
        <w:t xml:space="preserve"> </w:t>
      </w:r>
      <w:proofErr w:type="spellStart"/>
      <w:r>
        <w:rPr>
          <w:b/>
          <w:bCs/>
          <w:lang w:eastAsia="tr-TR"/>
        </w:rPr>
        <w:t>Europap</w:t>
      </w:r>
      <w:proofErr w:type="spellEnd"/>
      <w:r>
        <w:rPr>
          <w:b/>
          <w:bCs/>
          <w:lang w:eastAsia="tr-TR"/>
        </w:rPr>
        <w:t xml:space="preserve"> </w:t>
      </w:r>
      <w:proofErr w:type="spellStart"/>
      <w:r>
        <w:rPr>
          <w:b/>
          <w:bCs/>
          <w:lang w:eastAsia="tr-TR"/>
        </w:rPr>
        <w:t>Tezol</w:t>
      </w:r>
      <w:proofErr w:type="spellEnd"/>
      <w:r>
        <w:rPr>
          <w:b/>
          <w:bCs/>
          <w:lang w:eastAsia="tr-TR"/>
        </w:rPr>
        <w:t xml:space="preserve"> için 12-aylık hedef fiyatımızı 22,90 TL olarak korurken, Şirket’in finansallarının ve sektörünün gelişimini görmek için  AL olan önerimizi TUT olarak revize ediyoruz. Hisse, </w:t>
      </w:r>
      <w:proofErr w:type="gramStart"/>
      <w:r>
        <w:rPr>
          <w:b/>
          <w:bCs/>
          <w:lang w:eastAsia="tr-TR"/>
        </w:rPr>
        <w:t>yıl başından</w:t>
      </w:r>
      <w:proofErr w:type="gramEnd"/>
      <w:r>
        <w:rPr>
          <w:b/>
          <w:bCs/>
          <w:lang w:eastAsia="tr-TR"/>
        </w:rPr>
        <w:t xml:space="preserve"> itibaren BIST 100 endeksinin %7 gerisinde performans göstermiştir. Geriye dönük 12 aylık verilere göre hisse 14,0x FD/FAVÖK çarpanlarından işlem görmektedir.</w:t>
      </w:r>
    </w:p>
    <w:p w:rsidR="009A3908" w:rsidRDefault="009A3908" w:rsidP="009A3908">
      <w:pPr>
        <w:rPr>
          <w:b/>
          <w:bCs/>
          <w:color w:val="000000"/>
          <w:lang w:eastAsia="tr-TR"/>
        </w:rPr>
      </w:pPr>
    </w:p>
    <w:p w:rsidR="009A3908" w:rsidRDefault="009A3908" w:rsidP="009A3908">
      <w:r>
        <w:rPr>
          <w:noProof/>
          <w:lang w:eastAsia="tr-TR"/>
        </w:rPr>
        <w:lastRenderedPageBreak/>
        <w:drawing>
          <wp:inline distT="0" distB="0" distL="0" distR="0">
            <wp:extent cx="15859125" cy="6677025"/>
            <wp:effectExtent l="0" t="0" r="9525" b="9525"/>
            <wp:docPr id="4" name="Resim 4" descr="cid:image001.png@01DC10E8.EB1744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C10E8.EB1744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9125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908" w:rsidRDefault="009A3908" w:rsidP="009A3908">
      <w:pPr>
        <w:spacing w:line="280" w:lineRule="exact"/>
        <w:jc w:val="both"/>
      </w:pPr>
    </w:p>
    <w:p w:rsidR="009A3908" w:rsidRDefault="009A3908" w:rsidP="009A3908">
      <w:pPr>
        <w:spacing w:before="20" w:after="20"/>
        <w:rPr>
          <w:color w:val="000000"/>
          <w:sz w:val="20"/>
          <w:szCs w:val="20"/>
          <w:lang w:eastAsia="tr-TR"/>
        </w:rPr>
      </w:pPr>
      <w:r>
        <w:t> </w:t>
      </w:r>
    </w:p>
    <w:sectPr w:rsidR="009A39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Console">
    <w:panose1 w:val="020B0609040504020204"/>
    <w:charset w:val="A2"/>
    <w:family w:val="modern"/>
    <w:pitch w:val="fixed"/>
    <w:sig w:usb0="8000028F" w:usb1="00001800" w:usb2="00000000" w:usb3="00000000" w:csb0="0000001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FreeSetC">
    <w:altName w:val="Times New Roman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44273"/>
    <w:multiLevelType w:val="hybridMultilevel"/>
    <w:tmpl w:val="DF9C2426"/>
    <w:lvl w:ilvl="0" w:tplc="1D5461B4">
      <w:start w:val="1"/>
      <w:numFmt w:val="bullet"/>
      <w:pStyle w:val="ListBullet"/>
      <w:lvlText w:val="■"/>
      <w:lvlJc w:val="left"/>
      <w:pPr>
        <w:ind w:left="360" w:hanging="360"/>
      </w:pPr>
      <w:rPr>
        <w:rFonts w:ascii="Lucida Console" w:hAnsi="Lucida Console" w:hint="default"/>
        <w:color w:val="003366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77D26"/>
    <w:multiLevelType w:val="hybridMultilevel"/>
    <w:tmpl w:val="553C661E"/>
    <w:lvl w:ilvl="0" w:tplc="125A5A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39B"/>
        <w:u w:color="00539B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458D0"/>
    <w:multiLevelType w:val="multilevel"/>
    <w:tmpl w:val="D15E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657D7"/>
    <w:multiLevelType w:val="hybridMultilevel"/>
    <w:tmpl w:val="2620FDE0"/>
    <w:lvl w:ilvl="0" w:tplc="C7B05E84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E17BC"/>
    <w:multiLevelType w:val="hybridMultilevel"/>
    <w:tmpl w:val="749AC6B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C8"/>
    <w:rsid w:val="000A6B3A"/>
    <w:rsid w:val="00376999"/>
    <w:rsid w:val="00577FC8"/>
    <w:rsid w:val="009A3908"/>
    <w:rsid w:val="00E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A895B-94AA-49DF-AFD6-25F27297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908"/>
    <w:pPr>
      <w:spacing w:after="0" w:line="240" w:lineRule="auto"/>
    </w:pPr>
    <w:rPr>
      <w:rFonts w:ascii="Calibri" w:hAnsi="Calibri" w:cs="Calibri"/>
    </w:rPr>
  </w:style>
  <w:style w:type="paragraph" w:styleId="Balk1">
    <w:name w:val="heading 1"/>
    <w:basedOn w:val="Normal"/>
    <w:link w:val="Balk1Char"/>
    <w:uiPriority w:val="9"/>
    <w:qFormat/>
    <w:rsid w:val="00577FC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577FC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577FC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77FC8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577FC8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577FC8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577FC8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577F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7F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577FC8"/>
    <w:rPr>
      <w:i/>
      <w:iCs/>
    </w:rPr>
  </w:style>
  <w:style w:type="paragraph" w:customStyle="1" w:styleId="instrumentnamecontent">
    <w:name w:val="instrumentnamecontent"/>
    <w:basedOn w:val="Normal"/>
    <w:rsid w:val="000A6B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instrumentsaleprice">
    <w:name w:val="instrumentsaleprice"/>
    <w:basedOn w:val="VarsaylanParagrafYazTipi"/>
    <w:rsid w:val="000A6B3A"/>
  </w:style>
  <w:style w:type="character" w:customStyle="1" w:styleId="dailychangepercentage">
    <w:name w:val="dailychangepercentage"/>
    <w:basedOn w:val="VarsaylanParagrafYazTipi"/>
    <w:rsid w:val="000A6B3A"/>
  </w:style>
  <w:style w:type="character" w:customStyle="1" w:styleId="marketactiontitle">
    <w:name w:val="marketactiontitle"/>
    <w:basedOn w:val="VarsaylanParagrafYazTipi"/>
    <w:rsid w:val="000A6B3A"/>
  </w:style>
  <w:style w:type="character" w:customStyle="1" w:styleId="marketactionprice">
    <w:name w:val="marketactionprice"/>
    <w:basedOn w:val="VarsaylanParagrafYazTipi"/>
    <w:rsid w:val="000A6B3A"/>
  </w:style>
  <w:style w:type="paragraph" w:customStyle="1" w:styleId="ListBullet">
    <w:name w:val="List Bullet"/>
    <w:aliases w:val="FP_Bullet"/>
    <w:basedOn w:val="Normal"/>
    <w:uiPriority w:val="99"/>
    <w:rsid w:val="009A3908"/>
    <w:pPr>
      <w:numPr>
        <w:numId w:val="2"/>
      </w:numPr>
      <w:spacing w:before="120" w:line="280" w:lineRule="exact"/>
      <w:ind w:left="170" w:hanging="170"/>
      <w:jc w:val="both"/>
    </w:pPr>
    <w:rPr>
      <w:sz w:val="19"/>
      <w:szCs w:val="19"/>
    </w:rPr>
  </w:style>
  <w:style w:type="paragraph" w:customStyle="1" w:styleId="FPIntroduction">
    <w:name w:val="FP_Introduction"/>
    <w:basedOn w:val="Normal"/>
    <w:rsid w:val="009A3908"/>
    <w:pPr>
      <w:spacing w:before="120" w:line="280" w:lineRule="exact"/>
      <w:jc w:val="both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85433">
          <w:marLeft w:val="0"/>
          <w:marRight w:val="0"/>
          <w:marTop w:val="0"/>
          <w:marBottom w:val="300"/>
          <w:divBdr>
            <w:top w:val="single" w:sz="6" w:space="19" w:color="E4E9F2"/>
            <w:left w:val="none" w:sz="0" w:space="26" w:color="auto"/>
            <w:bottom w:val="single" w:sz="6" w:space="19" w:color="E4E9F2"/>
            <w:right w:val="none" w:sz="0" w:space="26" w:color="auto"/>
          </w:divBdr>
          <w:divsChild>
            <w:div w:id="5525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1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7165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8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5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39864">
          <w:marLeft w:val="0"/>
          <w:marRight w:val="0"/>
          <w:marTop w:val="0"/>
          <w:marBottom w:val="300"/>
          <w:divBdr>
            <w:top w:val="single" w:sz="6" w:space="19" w:color="E4E9F2"/>
            <w:left w:val="none" w:sz="0" w:space="26" w:color="auto"/>
            <w:bottom w:val="single" w:sz="6" w:space="19" w:color="E4E9F2"/>
            <w:right w:val="none" w:sz="0" w:space="26" w:color="auto"/>
          </w:divBdr>
          <w:divsChild>
            <w:div w:id="15815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28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1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3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5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2563">
          <w:marLeft w:val="0"/>
          <w:marRight w:val="0"/>
          <w:marTop w:val="0"/>
          <w:marBottom w:val="300"/>
          <w:divBdr>
            <w:top w:val="single" w:sz="6" w:space="19" w:color="E4E9F2"/>
            <w:left w:val="none" w:sz="0" w:space="26" w:color="auto"/>
            <w:bottom w:val="single" w:sz="6" w:space="19" w:color="E4E9F2"/>
            <w:right w:val="none" w:sz="0" w:space="26" w:color="auto"/>
          </w:divBdr>
          <w:divsChild>
            <w:div w:id="135549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8439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8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5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0064">
                  <w:marLeft w:val="0"/>
                  <w:marRight w:val="0"/>
                  <w:marTop w:val="0"/>
                  <w:marBottom w:val="0"/>
                  <w:divBdr>
                    <w:top w:val="single" w:sz="6" w:space="15" w:color="E4E9F2"/>
                    <w:left w:val="none" w:sz="0" w:space="15" w:color="auto"/>
                    <w:bottom w:val="none" w:sz="0" w:space="15" w:color="auto"/>
                    <w:right w:val="none" w:sz="0" w:space="15" w:color="auto"/>
                  </w:divBdr>
                </w:div>
                <w:div w:id="1506096270">
                  <w:marLeft w:val="0"/>
                  <w:marRight w:val="0"/>
                  <w:marTop w:val="0"/>
                  <w:marBottom w:val="0"/>
                  <w:divBdr>
                    <w:top w:val="single" w:sz="6" w:space="0" w:color="E4E9F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138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18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10E8.EB1744A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2025-08-13T08:45:00Z</dcterms:created>
  <dcterms:modified xsi:type="dcterms:W3CDTF">2025-08-19T06:20:00Z</dcterms:modified>
</cp:coreProperties>
</file>